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sz w:val="48"/>
          <w:szCs w:val="48"/>
        </w:rPr>
      </w:pPr>
    </w:p>
    <w:p>
      <w:pPr>
        <w:jc w:val="center"/>
        <w:rPr>
          <w:rFonts w:hint="eastAsia" w:ascii="宋体" w:hAnsi="宋体" w:eastAsia="宋体" w:cs="宋体"/>
          <w:sz w:val="48"/>
          <w:szCs w:val="48"/>
        </w:rPr>
      </w:pPr>
    </w:p>
    <w:p>
      <w:pPr>
        <w:jc w:val="center"/>
        <w:rPr>
          <w:rFonts w:hint="eastAsia" w:ascii="宋体" w:hAnsi="宋体" w:eastAsia="宋体" w:cs="宋体"/>
          <w:sz w:val="48"/>
          <w:szCs w:val="48"/>
        </w:rPr>
      </w:pPr>
    </w:p>
    <w:p>
      <w:pPr>
        <w:jc w:val="center"/>
        <w:rPr>
          <w:rFonts w:hint="eastAsia" w:ascii="宋体" w:hAnsi="宋体" w:eastAsia="宋体" w:cs="宋体"/>
          <w:sz w:val="48"/>
          <w:szCs w:val="48"/>
        </w:rPr>
      </w:pPr>
    </w:p>
    <w:p>
      <w:pPr>
        <w:jc w:val="center"/>
        <w:rPr>
          <w:rFonts w:hint="eastAsia" w:ascii="宋体" w:hAnsi="宋体" w:eastAsia="宋体" w:cs="宋体"/>
          <w:sz w:val="48"/>
          <w:szCs w:val="48"/>
        </w:rPr>
      </w:pPr>
    </w:p>
    <w:p>
      <w:pPr>
        <w:jc w:val="center"/>
        <w:rPr>
          <w:rFonts w:hint="eastAsia" w:ascii="宋体" w:hAnsi="宋体" w:eastAsia="宋体" w:cs="宋体"/>
          <w:sz w:val="48"/>
          <w:szCs w:val="48"/>
          <w:lang w:val="en-US" w:eastAsia="zh-CN"/>
        </w:rPr>
      </w:pPr>
      <w:r>
        <w:rPr>
          <w:rFonts w:hint="eastAsia" w:ascii="宋体" w:hAnsi="宋体" w:eastAsia="宋体" w:cs="宋体"/>
          <w:sz w:val="48"/>
          <w:szCs w:val="48"/>
          <w:lang w:val="en-US" w:eastAsia="zh-CN"/>
        </w:rPr>
        <w:t>南通常佑药业科技有限公司</w:t>
      </w:r>
    </w:p>
    <w:p>
      <w:pPr>
        <w:jc w:val="center"/>
        <w:rPr>
          <w:rFonts w:hint="eastAsia" w:ascii="宋体" w:hAnsi="宋体" w:eastAsia="宋体" w:cs="宋体"/>
          <w:sz w:val="48"/>
          <w:szCs w:val="48"/>
          <w:lang w:val="en-US" w:eastAsia="zh-CN"/>
        </w:rPr>
      </w:pPr>
      <w:r>
        <w:rPr>
          <w:rFonts w:hint="eastAsia" w:ascii="宋体" w:hAnsi="宋体" w:eastAsia="宋体" w:cs="宋体"/>
          <w:sz w:val="48"/>
          <w:szCs w:val="48"/>
          <w:lang w:val="en-US" w:eastAsia="zh-CN"/>
        </w:rPr>
        <w:t>土壤和地下水自行监测报告</w:t>
      </w: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eastAsia" w:ascii="宋体" w:hAnsi="宋体" w:eastAsia="宋体" w:cs="宋体"/>
          <w:sz w:val="48"/>
          <w:szCs w:val="48"/>
          <w:lang w:val="en-US" w:eastAsia="zh-CN"/>
        </w:rPr>
      </w:pPr>
    </w:p>
    <w:p>
      <w:pPr>
        <w:jc w:val="center"/>
        <w:rPr>
          <w:rFonts w:hint="default" w:ascii="宋体" w:hAnsi="宋体" w:eastAsia="宋体" w:cs="宋体"/>
          <w:sz w:val="36"/>
          <w:szCs w:val="36"/>
          <w:lang w:val="en-US" w:eastAsia="zh-CN"/>
        </w:rPr>
      </w:pPr>
      <w:r>
        <w:rPr>
          <w:rFonts w:hint="eastAsia" w:ascii="宋体" w:hAnsi="宋体" w:eastAsia="宋体" w:cs="宋体"/>
          <w:sz w:val="36"/>
          <w:szCs w:val="36"/>
          <w:lang w:val="en-US" w:eastAsia="zh-CN"/>
        </w:rPr>
        <w:t>南通常佑药业科技有限公司</w:t>
      </w:r>
    </w:p>
    <w:p>
      <w:pPr>
        <w:jc w:val="center"/>
        <w:rPr>
          <w:rFonts w:hint="eastAsia" w:ascii="宋体" w:hAnsi="宋体" w:eastAsia="宋体" w:cs="宋体"/>
          <w:sz w:val="36"/>
          <w:szCs w:val="36"/>
          <w:lang w:val="en-US" w:eastAsia="zh-CN"/>
        </w:rPr>
      </w:pPr>
      <w:r>
        <w:rPr>
          <w:rFonts w:hint="eastAsia" w:ascii="宋体" w:hAnsi="宋体" w:eastAsia="宋体" w:cs="宋体"/>
          <w:sz w:val="36"/>
          <w:szCs w:val="36"/>
          <w:lang w:val="en-US" w:eastAsia="zh-CN"/>
        </w:rPr>
        <w:t>2022年11月</w:t>
      </w:r>
    </w:p>
    <w:p>
      <w:pPr>
        <w:jc w:val="center"/>
        <w:rPr>
          <w:rFonts w:hint="eastAsia" w:ascii="宋体" w:hAnsi="宋体" w:eastAsia="宋体" w:cs="宋体"/>
          <w:sz w:val="36"/>
          <w:szCs w:val="36"/>
          <w:lang w:val="en-US" w:eastAsia="zh-CN"/>
        </w:rPr>
      </w:pPr>
    </w:p>
    <w:p>
      <w:pPr>
        <w:jc w:val="center"/>
        <w:rPr>
          <w:rFonts w:hint="eastAsia" w:ascii="宋体" w:hAnsi="宋体" w:eastAsia="宋体" w:cs="宋体"/>
          <w:sz w:val="36"/>
          <w:szCs w:val="36"/>
          <w:lang w:val="en-US" w:eastAsia="zh-CN"/>
        </w:rPr>
      </w:pPr>
    </w:p>
    <w:p>
      <w:pPr>
        <w:jc w:val="center"/>
        <w:rPr>
          <w:rFonts w:hint="eastAsia" w:ascii="宋体" w:hAnsi="宋体" w:eastAsia="宋体" w:cs="宋体"/>
          <w:sz w:val="36"/>
          <w:szCs w:val="36"/>
          <w:lang w:val="en-US" w:eastAsia="zh-CN"/>
        </w:rPr>
        <w:sectPr>
          <w:headerReference r:id="rId3" w:type="default"/>
          <w:pgSz w:w="11906" w:h="16838"/>
          <w:pgMar w:top="1701" w:right="1800" w:bottom="1729" w:left="1800" w:header="851" w:footer="992" w:gutter="0"/>
          <w:pgBorders>
            <w:top w:val="none" w:sz="0" w:space="0"/>
            <w:left w:val="none" w:sz="0" w:space="0"/>
            <w:bottom w:val="none" w:sz="0" w:space="0"/>
            <w:right w:val="none" w:sz="0" w:space="0"/>
          </w:pgBorders>
          <w:pgNumType w:fmt="decimal"/>
          <w:cols w:space="425" w:num="1"/>
          <w:titlePg/>
          <w:docGrid w:type="lines" w:linePitch="312" w:charSpace="0"/>
        </w:sectPr>
      </w:pPr>
    </w:p>
    <w:sdt>
      <w:sdtPr>
        <w:rPr>
          <w:rFonts w:ascii="宋体" w:hAnsi="宋体" w:eastAsia="宋体" w:cstheme="minorBidi"/>
          <w:kern w:val="2"/>
          <w:sz w:val="21"/>
          <w:szCs w:val="24"/>
          <w:lang w:val="en-US" w:eastAsia="zh-CN" w:bidi="ar-SA"/>
        </w:rPr>
        <w:id w:val="147470157"/>
        <w15:color w:val="DBDBDB"/>
        <w:docPartObj>
          <w:docPartGallery w:val="Table of Contents"/>
          <w:docPartUnique/>
        </w:docPartObj>
      </w:sdtPr>
      <w:sdtEndPr>
        <w:rPr>
          <w:rFonts w:hint="eastAsia" w:asciiTheme="minorEastAsia" w:hAnsiTheme="minorEastAsia" w:eastAsiaTheme="minorEastAsia" w:cstheme="minorEastAsia"/>
          <w:kern w:val="2"/>
          <w:sz w:val="21"/>
          <w:szCs w:val="28"/>
          <w:u w:val="single"/>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2"/>
            <w:tabs>
              <w:tab w:val="right" w:leader="dot" w:pos="8306"/>
            </w:tabs>
          </w:pPr>
          <w:r>
            <w:rPr>
              <w:rFonts w:hint="eastAsia" w:asciiTheme="minorEastAsia" w:hAnsiTheme="minorEastAsia" w:eastAsiaTheme="minorEastAsia" w:cstheme="minorEastAsia"/>
              <w:sz w:val="28"/>
              <w:szCs w:val="28"/>
              <w:u w:val="single"/>
              <w:lang w:val="en-US" w:eastAsia="zh-CN"/>
            </w:rPr>
            <w:fldChar w:fldCharType="begin"/>
          </w:r>
          <w:r>
            <w:rPr>
              <w:rFonts w:hint="eastAsia" w:asciiTheme="minorEastAsia" w:hAnsiTheme="minorEastAsia" w:eastAsiaTheme="minorEastAsia" w:cstheme="minorEastAsia"/>
              <w:sz w:val="28"/>
              <w:szCs w:val="28"/>
              <w:u w:val="single"/>
              <w:lang w:val="en-US" w:eastAsia="zh-CN"/>
            </w:rPr>
            <w:instrText xml:space="preserve">TOC \o "1-3" \h \u </w:instrText>
          </w:r>
          <w:r>
            <w:rPr>
              <w:rFonts w:hint="eastAsia" w:asciiTheme="minorEastAsia" w:hAnsiTheme="minorEastAsia" w:eastAsiaTheme="minorEastAsia" w:cstheme="minorEastAsia"/>
              <w:sz w:val="28"/>
              <w:szCs w:val="28"/>
              <w:u w:val="single"/>
              <w:lang w:val="en-US" w:eastAsia="zh-CN"/>
            </w:rPr>
            <w:fldChar w:fldCharType="separate"/>
          </w: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_Toc6057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1项目背景</w:t>
          </w:r>
          <w:r>
            <w:tab/>
          </w:r>
          <w:r>
            <w:fldChar w:fldCharType="begin"/>
          </w:r>
          <w:r>
            <w:instrText xml:space="preserve"> PAGEREF _Toc6057 \h </w:instrText>
          </w:r>
          <w:r>
            <w:fldChar w:fldCharType="separate"/>
          </w:r>
          <w:r>
            <w:t>1</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_Toc30931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1.1工作由来</w:t>
          </w:r>
          <w:r>
            <w:tab/>
          </w:r>
          <w:r>
            <w:fldChar w:fldCharType="begin"/>
          </w:r>
          <w:r>
            <w:instrText xml:space="preserve"> PAGEREF _Toc30931 \h </w:instrText>
          </w:r>
          <w:r>
            <w:fldChar w:fldCharType="separate"/>
          </w:r>
          <w:r>
            <w:t>1</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_Toc30852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1.2工作依据</w:t>
          </w:r>
          <w:r>
            <w:tab/>
          </w:r>
          <w:r>
            <w:fldChar w:fldCharType="begin"/>
          </w:r>
          <w:r>
            <w:instrText xml:space="preserve"> PAGEREF _Toc30852 \h </w:instrText>
          </w:r>
          <w:r>
            <w:fldChar w:fldCharType="separate"/>
          </w:r>
          <w:r>
            <w:t>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_Toc27796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1.2.1 法律法规</w:t>
          </w:r>
          <w:r>
            <w:tab/>
          </w:r>
          <w:r>
            <w:fldChar w:fldCharType="begin"/>
          </w:r>
          <w:r>
            <w:instrText xml:space="preserve"> PAGEREF _Toc27796 \h </w:instrText>
          </w:r>
          <w:r>
            <w:fldChar w:fldCharType="separate"/>
          </w:r>
          <w:r>
            <w:t>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_Toc24814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1.2.2 国家、省级、地方政策文件</w:t>
          </w:r>
          <w:r>
            <w:tab/>
          </w:r>
          <w:r>
            <w:fldChar w:fldCharType="begin"/>
          </w:r>
          <w:r>
            <w:instrText xml:space="preserve"> PAGEREF _Toc24814 \h </w:instrText>
          </w:r>
          <w:r>
            <w:fldChar w:fldCharType="separate"/>
          </w:r>
          <w:r>
            <w:t>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_Toc21615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1.2.3 相关标准、技术规范</w:t>
          </w:r>
          <w:r>
            <w:tab/>
          </w:r>
          <w:r>
            <w:fldChar w:fldCharType="begin"/>
          </w:r>
          <w:r>
            <w:instrText xml:space="preserve"> PAGEREF _Toc21615 \h </w:instrText>
          </w:r>
          <w:r>
            <w:fldChar w:fldCharType="separate"/>
          </w:r>
          <w:r>
            <w:t>3</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_Toc430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1.2.4 企业相关资料</w:t>
          </w:r>
          <w:r>
            <w:tab/>
          </w:r>
          <w:r>
            <w:fldChar w:fldCharType="begin"/>
          </w:r>
          <w:r>
            <w:instrText xml:space="preserve"> PAGEREF _Toc430 \h </w:instrText>
          </w:r>
          <w:r>
            <w:fldChar w:fldCharType="separate"/>
          </w:r>
          <w:r>
            <w:t>3</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_Toc13918 </w:instrText>
          </w:r>
          <w:r>
            <w:rPr>
              <w:rFonts w:hint="eastAsia" w:asciiTheme="minorEastAsia" w:hAnsiTheme="minorEastAsia" w:eastAsiaTheme="minorEastAsia" w:cstheme="minorEastAsia"/>
              <w:szCs w:val="28"/>
              <w:lang w:val="en-US" w:eastAsia="zh-CN"/>
            </w:rPr>
            <w:fldChar w:fldCharType="separate"/>
          </w:r>
          <w:r>
            <w:rPr>
              <w:rFonts w:hint="default"/>
              <w:lang w:val="en-US" w:eastAsia="zh-CN"/>
            </w:rPr>
            <w:t xml:space="preserve">1.2.5 </w:t>
          </w:r>
          <w:r>
            <w:rPr>
              <w:rFonts w:hint="eastAsia"/>
              <w:lang w:val="en-US" w:eastAsia="zh-CN"/>
            </w:rPr>
            <w:t>土壤、地下水执行标准</w:t>
          </w:r>
          <w:r>
            <w:tab/>
          </w:r>
          <w:r>
            <w:fldChar w:fldCharType="begin"/>
          </w:r>
          <w:r>
            <w:instrText xml:space="preserve"> PAGEREF _Toc13918 \h </w:instrText>
          </w:r>
          <w:r>
            <w:fldChar w:fldCharType="separate"/>
          </w:r>
          <w:r>
            <w:t>3</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_Toc10232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1.3工作内容及技术路线</w:t>
          </w:r>
          <w:r>
            <w:tab/>
          </w:r>
          <w:r>
            <w:fldChar w:fldCharType="begin"/>
          </w:r>
          <w:r>
            <w:instrText xml:space="preserve"> PAGEREF _Toc10232 \h </w:instrText>
          </w:r>
          <w:r>
            <w:fldChar w:fldCharType="separate"/>
          </w:r>
          <w:r>
            <w:t>4</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_Toc5465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1.3.1工作内容</w:t>
          </w:r>
          <w:r>
            <w:tab/>
          </w:r>
          <w:r>
            <w:fldChar w:fldCharType="begin"/>
          </w:r>
          <w:r>
            <w:instrText xml:space="preserve"> PAGEREF _Toc5465 \h </w:instrText>
          </w:r>
          <w:r>
            <w:fldChar w:fldCharType="separate"/>
          </w:r>
          <w:r>
            <w:t>4</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_Toc29463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1.3.2技术路线</w:t>
          </w:r>
          <w:r>
            <w:tab/>
          </w:r>
          <w:r>
            <w:fldChar w:fldCharType="begin"/>
          </w:r>
          <w:r>
            <w:instrText xml:space="preserve"> PAGEREF _Toc29463 \h </w:instrText>
          </w:r>
          <w:r>
            <w:fldChar w:fldCharType="separate"/>
          </w:r>
          <w:r>
            <w:t>4</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_Toc25327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2. 企业概况</w:t>
          </w:r>
          <w:r>
            <w:tab/>
          </w:r>
          <w:r>
            <w:fldChar w:fldCharType="begin"/>
          </w:r>
          <w:r>
            <w:instrText xml:space="preserve"> PAGEREF _Toc25327 \h </w:instrText>
          </w:r>
          <w:r>
            <w:fldChar w:fldCharType="separate"/>
          </w:r>
          <w:r>
            <w:t>6</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_Toc18461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2.1企业名称、地址、坐标等</w:t>
          </w:r>
          <w:r>
            <w:tab/>
          </w:r>
          <w:r>
            <w:fldChar w:fldCharType="begin"/>
          </w:r>
          <w:r>
            <w:instrText xml:space="preserve"> PAGEREF _Toc18461 \h </w:instrText>
          </w:r>
          <w:r>
            <w:fldChar w:fldCharType="separate"/>
          </w:r>
          <w:r>
            <w:t>6</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_Toc19105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2.2企业用地历史、行业分类、经营范围等</w:t>
          </w:r>
          <w:r>
            <w:tab/>
          </w:r>
          <w:r>
            <w:fldChar w:fldCharType="begin"/>
          </w:r>
          <w:r>
            <w:instrText xml:space="preserve"> PAGEREF _Toc19105 \h </w:instrText>
          </w:r>
          <w:r>
            <w:fldChar w:fldCharType="separate"/>
          </w:r>
          <w:r>
            <w:t>7</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_Toc31836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2.3企业用地已有的环境调查与监测信息</w:t>
          </w:r>
          <w:r>
            <w:tab/>
          </w:r>
          <w:r>
            <w:fldChar w:fldCharType="begin"/>
          </w:r>
          <w:r>
            <w:instrText xml:space="preserve"> PAGEREF _Toc31836 \h </w:instrText>
          </w:r>
          <w:r>
            <w:fldChar w:fldCharType="separate"/>
          </w:r>
          <w:r>
            <w:t>8</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_Toc3329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3地勘资料</w:t>
          </w:r>
          <w:r>
            <w:tab/>
          </w:r>
          <w:r>
            <w:fldChar w:fldCharType="begin"/>
          </w:r>
          <w:r>
            <w:instrText xml:space="preserve"> PAGEREF _Toc3329 \h </w:instrText>
          </w:r>
          <w:r>
            <w:fldChar w:fldCharType="separate"/>
          </w:r>
          <w:r>
            <w:t>12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_Toc13441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3.1地质信息</w:t>
          </w:r>
          <w:r>
            <w:tab/>
          </w:r>
          <w:r>
            <w:fldChar w:fldCharType="begin"/>
          </w:r>
          <w:r>
            <w:instrText xml:space="preserve"> PAGEREF _Toc13441 \h </w:instrText>
          </w:r>
          <w:r>
            <w:fldChar w:fldCharType="separate"/>
          </w:r>
          <w:r>
            <w:t>12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_Toc25124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3.2水文地质信息</w:t>
          </w:r>
          <w:r>
            <w:tab/>
          </w:r>
          <w:r>
            <w:fldChar w:fldCharType="begin"/>
          </w:r>
          <w:r>
            <w:instrText xml:space="preserve"> PAGEREF _Toc25124 \h </w:instrText>
          </w:r>
          <w:r>
            <w:fldChar w:fldCharType="separate"/>
          </w:r>
          <w:r>
            <w:t>13</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_Toc12093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4企业生产及污染防治情况</w:t>
          </w:r>
          <w:r>
            <w:tab/>
          </w:r>
          <w:r>
            <w:fldChar w:fldCharType="begin"/>
          </w:r>
          <w:r>
            <w:instrText xml:space="preserve"> PAGEREF _Toc12093 \h </w:instrText>
          </w:r>
          <w:r>
            <w:fldChar w:fldCharType="separate"/>
          </w:r>
          <w:r>
            <w:t>15</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_Toc30371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4.1企业生产概况</w:t>
          </w:r>
          <w:r>
            <w:tab/>
          </w:r>
          <w:r>
            <w:fldChar w:fldCharType="begin"/>
          </w:r>
          <w:r>
            <w:instrText xml:space="preserve"> PAGEREF _Toc30371 \h </w:instrText>
          </w:r>
          <w:r>
            <w:fldChar w:fldCharType="separate"/>
          </w:r>
          <w:r>
            <w:t>15</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_Toc9555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4.2企业总平面布置</w:t>
          </w:r>
          <w:r>
            <w:tab/>
          </w:r>
          <w:r>
            <w:fldChar w:fldCharType="begin"/>
          </w:r>
          <w:r>
            <w:instrText xml:space="preserve"> PAGEREF _Toc9555 \h </w:instrText>
          </w:r>
          <w:r>
            <w:fldChar w:fldCharType="separate"/>
          </w:r>
          <w:r>
            <w:t>20</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_Toc6094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4.3</w:t>
          </w:r>
          <w:r>
            <w:rPr>
              <w:rFonts w:hint="eastAsia"/>
              <w:highlight w:val="none"/>
              <w:lang w:val="en-US" w:eastAsia="zh-CN"/>
            </w:rPr>
            <w:t>各重点场所、重点设施设备情况</w:t>
          </w:r>
          <w:r>
            <w:tab/>
          </w:r>
          <w:r>
            <w:fldChar w:fldCharType="begin"/>
          </w:r>
          <w:r>
            <w:instrText xml:space="preserve"> PAGEREF _Toc6094 \h </w:instrText>
          </w:r>
          <w:r>
            <w:fldChar w:fldCharType="separate"/>
          </w:r>
          <w:r>
            <w:t>21</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_Toc23850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5重点监测单元识别与分类</w:t>
          </w:r>
          <w:r>
            <w:tab/>
          </w:r>
          <w:r>
            <w:fldChar w:fldCharType="begin"/>
          </w:r>
          <w:r>
            <w:instrText xml:space="preserve"> PAGEREF _Toc23850 \h </w:instrText>
          </w:r>
          <w:r>
            <w:fldChar w:fldCharType="separate"/>
          </w:r>
          <w:r>
            <w:t>22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_Toc11611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5.1重点单元情况</w:t>
          </w:r>
          <w:r>
            <w:tab/>
          </w:r>
          <w:r>
            <w:fldChar w:fldCharType="begin"/>
          </w:r>
          <w:r>
            <w:instrText xml:space="preserve"> PAGEREF _Toc11611 \h </w:instrText>
          </w:r>
          <w:r>
            <w:fldChar w:fldCharType="separate"/>
          </w:r>
          <w:r>
            <w:t>22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_Toc14310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5.2识别/分类结果及原因</w:t>
          </w:r>
          <w:r>
            <w:tab/>
          </w:r>
          <w:r>
            <w:fldChar w:fldCharType="begin"/>
          </w:r>
          <w:r>
            <w:instrText xml:space="preserve"> PAGEREF _Toc14310 \h </w:instrText>
          </w:r>
          <w:r>
            <w:fldChar w:fldCharType="separate"/>
          </w:r>
          <w:r>
            <w:t>22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_Toc21277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5.3关注污染物</w:t>
          </w:r>
          <w:r>
            <w:tab/>
          </w:r>
          <w:r>
            <w:fldChar w:fldCharType="begin"/>
          </w:r>
          <w:r>
            <w:instrText xml:space="preserve"> PAGEREF _Toc21277 \h </w:instrText>
          </w:r>
          <w:r>
            <w:fldChar w:fldCharType="separate"/>
          </w:r>
          <w:r>
            <w:t>24</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_Toc3169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6监测点位布设方案</w:t>
          </w:r>
          <w:r>
            <w:tab/>
          </w:r>
          <w:r>
            <w:fldChar w:fldCharType="begin"/>
          </w:r>
          <w:r>
            <w:instrText xml:space="preserve"> PAGEREF _Toc3169 \h </w:instrText>
          </w:r>
          <w:r>
            <w:fldChar w:fldCharType="separate"/>
          </w:r>
          <w:r>
            <w:t>24</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_Toc19853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6.1重点单元及相应监测点/监测井的布设位置</w:t>
          </w:r>
          <w:r>
            <w:tab/>
          </w:r>
          <w:r>
            <w:fldChar w:fldCharType="begin"/>
          </w:r>
          <w:r>
            <w:instrText xml:space="preserve"> PAGEREF _Toc19853 \h </w:instrText>
          </w:r>
          <w:r>
            <w:fldChar w:fldCharType="separate"/>
          </w:r>
          <w:r>
            <w:t>25</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_Toc23056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6.2各点位布设原因</w:t>
          </w:r>
          <w:r>
            <w:tab/>
          </w:r>
          <w:r>
            <w:fldChar w:fldCharType="begin"/>
          </w:r>
          <w:r>
            <w:instrText xml:space="preserve"> PAGEREF _Toc23056 \h </w:instrText>
          </w:r>
          <w:r>
            <w:fldChar w:fldCharType="separate"/>
          </w:r>
          <w:r>
            <w:t>26</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_Toc16295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6.3</w:t>
          </w:r>
          <w:r>
            <w:rPr>
              <w:rFonts w:hint="default" w:ascii="Times New Roman" w:hAnsi="Times New Roman" w:cs="Times New Roman"/>
              <w:lang w:val="en-US" w:eastAsia="zh-CN"/>
            </w:rPr>
            <w:t>各点位监测指标及选取原因</w:t>
          </w:r>
          <w:r>
            <w:tab/>
          </w:r>
          <w:r>
            <w:fldChar w:fldCharType="begin"/>
          </w:r>
          <w:r>
            <w:instrText xml:space="preserve"> PAGEREF _Toc16295 \h </w:instrText>
          </w:r>
          <w:r>
            <w:fldChar w:fldCharType="separate"/>
          </w:r>
          <w:r>
            <w:t>27</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_Toc15343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7 样品采集、保存、流转与制备</w:t>
          </w:r>
          <w:r>
            <w:tab/>
          </w:r>
          <w:r>
            <w:fldChar w:fldCharType="begin"/>
          </w:r>
          <w:r>
            <w:instrText xml:space="preserve"> PAGEREF _Toc15343 \h </w:instrText>
          </w:r>
          <w:r>
            <w:fldChar w:fldCharType="separate"/>
          </w:r>
          <w:r>
            <w:t>29</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_Toc5279 </w:instrText>
          </w:r>
          <w:r>
            <w:rPr>
              <w:rFonts w:hint="eastAsia" w:asciiTheme="minorEastAsia" w:hAnsiTheme="minorEastAsia" w:eastAsiaTheme="minorEastAsia" w:cstheme="minorEastAsia"/>
              <w:szCs w:val="28"/>
              <w:lang w:val="en-US" w:eastAsia="zh-CN"/>
            </w:rPr>
            <w:fldChar w:fldCharType="separate"/>
          </w:r>
          <w:r>
            <w:rPr>
              <w:rFonts w:hint="default" w:ascii="Times New Roman" w:hAnsi="Times New Roman" w:cs="Times New Roman"/>
              <w:lang w:val="en-US" w:eastAsia="zh-CN"/>
            </w:rPr>
            <w:t>7.1 现场采</w:t>
          </w:r>
          <w:r>
            <w:rPr>
              <w:rFonts w:hint="eastAsia"/>
              <w:lang w:val="en-US" w:eastAsia="zh-CN"/>
            </w:rPr>
            <w:t>样位置、数量和深度</w:t>
          </w:r>
          <w:r>
            <w:tab/>
          </w:r>
          <w:r>
            <w:fldChar w:fldCharType="begin"/>
          </w:r>
          <w:r>
            <w:instrText xml:space="preserve"> PAGEREF _Toc5279 \h </w:instrText>
          </w:r>
          <w:r>
            <w:fldChar w:fldCharType="separate"/>
          </w:r>
          <w:r>
            <w:t>29</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_Toc25576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7.2 采样方法及程序</w:t>
          </w:r>
          <w:r>
            <w:tab/>
          </w:r>
          <w:r>
            <w:fldChar w:fldCharType="begin"/>
          </w:r>
          <w:r>
            <w:instrText xml:space="preserve"> PAGEREF _Toc25576 \h </w:instrText>
          </w:r>
          <w:r>
            <w:fldChar w:fldCharType="separate"/>
          </w:r>
          <w:r>
            <w:t>29</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_Toc25651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7.3 样品保存、流转与制备</w:t>
          </w:r>
          <w:r>
            <w:tab/>
          </w:r>
          <w:r>
            <w:fldChar w:fldCharType="begin"/>
          </w:r>
          <w:r>
            <w:instrText xml:space="preserve"> PAGEREF _Toc25651 \h </w:instrText>
          </w:r>
          <w:r>
            <w:fldChar w:fldCharType="separate"/>
          </w:r>
          <w:r>
            <w:t>32</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_Toc27216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8监测结果及分析</w:t>
          </w:r>
          <w:r>
            <w:tab/>
          </w:r>
          <w:r>
            <w:fldChar w:fldCharType="begin"/>
          </w:r>
          <w:r>
            <w:instrText xml:space="preserve"> PAGEREF _Toc27216 \h </w:instrText>
          </w:r>
          <w:r>
            <w:fldChar w:fldCharType="separate"/>
          </w:r>
          <w:r>
            <w:t>33</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_Toc3756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8.1土壤监测结果分析</w:t>
          </w:r>
          <w:r>
            <w:tab/>
          </w:r>
          <w:r>
            <w:fldChar w:fldCharType="begin"/>
          </w:r>
          <w:r>
            <w:instrText xml:space="preserve"> PAGEREF _Toc3756 \h </w:instrText>
          </w:r>
          <w:r>
            <w:fldChar w:fldCharType="separate"/>
          </w:r>
          <w:r>
            <w:t>33</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_Toc23152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8.2地下水监测结果分析</w:t>
          </w:r>
          <w:r>
            <w:tab/>
          </w:r>
          <w:r>
            <w:fldChar w:fldCharType="begin"/>
          </w:r>
          <w:r>
            <w:instrText xml:space="preserve"> PAGEREF _Toc23152 \h </w:instrText>
          </w:r>
          <w:r>
            <w:fldChar w:fldCharType="separate"/>
          </w:r>
          <w:r>
            <w:t>40</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_Toc30156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9质量保证与质量控制</w:t>
          </w:r>
          <w:r>
            <w:tab/>
          </w:r>
          <w:r>
            <w:fldChar w:fldCharType="begin"/>
          </w:r>
          <w:r>
            <w:instrText xml:space="preserve"> PAGEREF _Toc30156 \h </w:instrText>
          </w:r>
          <w:r>
            <w:fldChar w:fldCharType="separate"/>
          </w:r>
          <w:r>
            <w:t>44</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_Toc27700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9.1自行监测质量体系</w:t>
          </w:r>
          <w:r>
            <w:tab/>
          </w:r>
          <w:r>
            <w:fldChar w:fldCharType="begin"/>
          </w:r>
          <w:r>
            <w:instrText xml:space="preserve"> PAGEREF _Toc27700 \h </w:instrText>
          </w:r>
          <w:r>
            <w:fldChar w:fldCharType="separate"/>
          </w:r>
          <w:r>
            <w:t>44</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_Toc8757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9.2监测方案制定的质量保证与控制</w:t>
          </w:r>
          <w:r>
            <w:tab/>
          </w:r>
          <w:r>
            <w:fldChar w:fldCharType="begin"/>
          </w:r>
          <w:r>
            <w:instrText xml:space="preserve"> PAGEREF _Toc8757 \h </w:instrText>
          </w:r>
          <w:r>
            <w:fldChar w:fldCharType="separate"/>
          </w:r>
          <w:r>
            <w:t>46</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_Toc7287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9.3样品采集、保存与流转的质量保证与控制</w:t>
          </w:r>
          <w:r>
            <w:tab/>
          </w:r>
          <w:r>
            <w:fldChar w:fldCharType="begin"/>
          </w:r>
          <w:r>
            <w:instrText xml:space="preserve"> PAGEREF _Toc7287 \h </w:instrText>
          </w:r>
          <w:r>
            <w:fldChar w:fldCharType="separate"/>
          </w:r>
          <w:r>
            <w:t>46</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_Toc24852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9.3.1采样前准备</w:t>
          </w:r>
          <w:r>
            <w:tab/>
          </w:r>
          <w:r>
            <w:fldChar w:fldCharType="begin"/>
          </w:r>
          <w:r>
            <w:instrText xml:space="preserve"> PAGEREF _Toc24852 \h </w:instrText>
          </w:r>
          <w:r>
            <w:fldChar w:fldCharType="separate"/>
          </w:r>
          <w:r>
            <w:t>46</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_Toc8323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9.3.2土壤的样品采集</w:t>
          </w:r>
          <w:r>
            <w:tab/>
          </w:r>
          <w:r>
            <w:fldChar w:fldCharType="begin"/>
          </w:r>
          <w:r>
            <w:instrText xml:space="preserve"> PAGEREF _Toc8323 \h </w:instrText>
          </w:r>
          <w:r>
            <w:fldChar w:fldCharType="separate"/>
          </w:r>
          <w:r>
            <w:t>47</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_Toc1043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9.3.3地下水的样品采集</w:t>
          </w:r>
          <w:r>
            <w:tab/>
          </w:r>
          <w:r>
            <w:fldChar w:fldCharType="begin"/>
          </w:r>
          <w:r>
            <w:instrText xml:space="preserve"> PAGEREF _Toc1043 \h </w:instrText>
          </w:r>
          <w:r>
            <w:fldChar w:fldCharType="separate"/>
          </w:r>
          <w:r>
            <w:t>48</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_Toc22205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9.3.4土壤和地下水的样品保存和流转</w:t>
          </w:r>
          <w:r>
            <w:tab/>
          </w:r>
          <w:r>
            <w:fldChar w:fldCharType="begin"/>
          </w:r>
          <w:r>
            <w:instrText xml:space="preserve"> PAGEREF _Toc22205 \h </w:instrText>
          </w:r>
          <w:r>
            <w:fldChar w:fldCharType="separate"/>
          </w:r>
          <w:r>
            <w:t>48</w:t>
          </w:r>
          <w:r>
            <w:fldChar w:fldCharType="end"/>
          </w:r>
          <w:r>
            <w:rPr>
              <w:rFonts w:hint="eastAsia" w:asciiTheme="minorEastAsia" w:hAnsiTheme="minorEastAsia" w:eastAsiaTheme="minorEastAsia" w:cstheme="minorEastAsia"/>
              <w:szCs w:val="28"/>
              <w:u w:val="single"/>
              <w:lang w:val="en-US" w:eastAsia="zh-CN"/>
            </w:rPr>
            <w:fldChar w:fldCharType="end"/>
          </w:r>
        </w:p>
        <w:p>
          <w:pPr>
            <w:pStyle w:val="9"/>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_Toc32219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9.3.5样品分析测试的质量保证与控制</w:t>
          </w:r>
          <w:r>
            <w:tab/>
          </w:r>
          <w:r>
            <w:fldChar w:fldCharType="begin"/>
          </w:r>
          <w:r>
            <w:instrText xml:space="preserve"> PAGEREF _Toc32219 \h </w:instrText>
          </w:r>
          <w:r>
            <w:fldChar w:fldCharType="separate"/>
          </w:r>
          <w:r>
            <w:t>51</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_Toc9630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10结论与措施</w:t>
          </w:r>
          <w:r>
            <w:tab/>
          </w:r>
          <w:r>
            <w:fldChar w:fldCharType="begin"/>
          </w:r>
          <w:r>
            <w:instrText xml:space="preserve"> PAGEREF _Toc9630 \h </w:instrText>
          </w:r>
          <w:r>
            <w:fldChar w:fldCharType="separate"/>
          </w:r>
          <w:r>
            <w:t>57</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_Toc10160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10.1监测结论</w:t>
          </w:r>
          <w:r>
            <w:tab/>
          </w:r>
          <w:r>
            <w:fldChar w:fldCharType="begin"/>
          </w:r>
          <w:r>
            <w:instrText xml:space="preserve"> PAGEREF _Toc10160 \h </w:instrText>
          </w:r>
          <w:r>
            <w:fldChar w:fldCharType="separate"/>
          </w:r>
          <w:r>
            <w:t>57</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3"/>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_Toc857 </w:instrText>
          </w:r>
          <w:r>
            <w:rPr>
              <w:rFonts w:hint="eastAsia" w:asciiTheme="minorEastAsia" w:hAnsiTheme="minorEastAsia" w:eastAsiaTheme="minorEastAsia" w:cstheme="minorEastAsia"/>
              <w:szCs w:val="28"/>
              <w:lang w:val="en-US" w:eastAsia="zh-CN"/>
            </w:rPr>
            <w:fldChar w:fldCharType="separate"/>
          </w:r>
          <w:r>
            <w:rPr>
              <w:rFonts w:hint="eastAsia"/>
              <w:lang w:val="en-US" w:eastAsia="zh-CN"/>
            </w:rPr>
            <w:t>10.2企业针对监测结果拟采取的主要措施及选取原因</w:t>
          </w:r>
          <w:r>
            <w:tab/>
          </w:r>
          <w:r>
            <w:fldChar w:fldCharType="begin"/>
          </w:r>
          <w:r>
            <w:instrText xml:space="preserve"> PAGEREF _Toc857 \h </w:instrText>
          </w:r>
          <w:r>
            <w:fldChar w:fldCharType="separate"/>
          </w:r>
          <w:r>
            <w:t>57</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_Toc8432 </w:instrText>
          </w:r>
          <w:r>
            <w:rPr>
              <w:rFonts w:hint="eastAsia" w:asciiTheme="minorEastAsia" w:hAnsiTheme="minorEastAsia" w:eastAsiaTheme="minorEastAsia" w:cstheme="minorEastAsia"/>
              <w:szCs w:val="28"/>
              <w:lang w:val="en-US" w:eastAsia="zh-CN"/>
            </w:rPr>
            <w:fldChar w:fldCharType="separate"/>
          </w:r>
          <w:r>
            <w:rPr>
              <w:rFonts w:hint="eastAsia"/>
              <w:szCs w:val="28"/>
              <w:lang w:val="en-US" w:eastAsia="zh-CN"/>
            </w:rPr>
            <w:t>附件： 附件1 重点监测单元清单</w:t>
          </w:r>
          <w:r>
            <w:tab/>
          </w:r>
          <w:r>
            <w:fldChar w:fldCharType="begin"/>
          </w:r>
          <w:r>
            <w:instrText xml:space="preserve"> PAGEREF _Toc8432 \h </w:instrText>
          </w:r>
          <w:r>
            <w:fldChar w:fldCharType="separate"/>
          </w:r>
          <w:r>
            <w:t>58</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eastAsia" w:asciiTheme="minorEastAsia" w:hAnsiTheme="minorEastAsia" w:eastAsiaTheme="minorEastAsia" w:cstheme="minorEastAsia"/>
              <w:szCs w:val="28"/>
              <w:u w:val="single"/>
              <w:lang w:val="en-US" w:eastAsia="zh-CN"/>
            </w:rPr>
            <w:fldChar w:fldCharType="begin"/>
          </w:r>
          <w:r>
            <w:rPr>
              <w:rFonts w:hint="eastAsia" w:asciiTheme="minorEastAsia" w:hAnsiTheme="minorEastAsia" w:eastAsiaTheme="minorEastAsia" w:cstheme="minorEastAsia"/>
              <w:szCs w:val="28"/>
              <w:lang w:val="en-US" w:eastAsia="zh-CN"/>
            </w:rPr>
            <w:instrText xml:space="preserve"> HYPERLINK \l _Toc29672 </w:instrText>
          </w:r>
          <w:r>
            <w:rPr>
              <w:rFonts w:hint="eastAsia" w:asciiTheme="minorEastAsia" w:hAnsiTheme="minorEastAsia" w:eastAsiaTheme="minorEastAsia" w:cstheme="minorEastAsia"/>
              <w:szCs w:val="28"/>
              <w:lang w:val="en-US" w:eastAsia="zh-CN"/>
            </w:rPr>
            <w:fldChar w:fldCharType="separate"/>
          </w:r>
          <w:r>
            <w:rPr>
              <w:rFonts w:hint="eastAsia"/>
              <w:szCs w:val="28"/>
              <w:lang w:val="en-US" w:eastAsia="zh-CN"/>
            </w:rPr>
            <w:t>附件2：实验室样品检测报告</w:t>
          </w:r>
          <w:r>
            <w:tab/>
          </w:r>
          <w:r>
            <w:fldChar w:fldCharType="begin"/>
          </w:r>
          <w:r>
            <w:instrText xml:space="preserve"> PAGEREF _Toc29672 \h </w:instrText>
          </w:r>
          <w:r>
            <w:fldChar w:fldCharType="separate"/>
          </w:r>
          <w:r>
            <w:t>60</w:t>
          </w:r>
          <w:r>
            <w:fldChar w:fldCharType="end"/>
          </w:r>
          <w:r>
            <w:rPr>
              <w:rFonts w:hint="eastAsia" w:asciiTheme="minorEastAsia" w:hAnsiTheme="minorEastAsia" w:eastAsiaTheme="minorEastAsia" w:cstheme="minorEastAsia"/>
              <w:szCs w:val="28"/>
              <w:u w:val="single"/>
              <w:lang w:val="en-US" w:eastAsia="zh-CN"/>
            </w:rPr>
            <w:fldChar w:fldCharType="end"/>
          </w:r>
        </w:p>
        <w:p>
          <w:pPr>
            <w:pStyle w:val="12"/>
            <w:tabs>
              <w:tab w:val="right" w:leader="dot" w:pos="8306"/>
            </w:tabs>
          </w:pPr>
          <w:r>
            <w:rPr>
              <w:rFonts w:hint="default" w:asciiTheme="minorAscii" w:hAnsiTheme="minorAscii" w:eastAsiaTheme="minorEastAsia" w:cstheme="minorEastAsia"/>
              <w:szCs w:val="28"/>
              <w:u w:val="single"/>
              <w:lang w:val="en-US" w:eastAsia="zh-CN"/>
            </w:rPr>
            <w:fldChar w:fldCharType="begin"/>
          </w:r>
          <w:r>
            <w:rPr>
              <w:rFonts w:hint="default" w:asciiTheme="minorAscii" w:hAnsiTheme="minorAscii" w:eastAsiaTheme="minorEastAsia" w:cstheme="minorEastAsia"/>
              <w:szCs w:val="28"/>
              <w:lang w:val="en-US" w:eastAsia="zh-CN"/>
            </w:rPr>
            <w:instrText xml:space="preserve"> HYPERLINK \l _Toc32631 </w:instrText>
          </w:r>
          <w:r>
            <w:rPr>
              <w:rFonts w:hint="default" w:asciiTheme="minorAscii" w:hAnsiTheme="minorAscii" w:eastAsiaTheme="minorEastAsia" w:cstheme="minorEastAsia"/>
              <w:szCs w:val="28"/>
              <w:lang w:val="en-US" w:eastAsia="zh-CN"/>
            </w:rPr>
            <w:fldChar w:fldCharType="separate"/>
          </w:r>
          <w:r>
            <w:rPr>
              <w:rFonts w:hint="default" w:asciiTheme="minorAscii" w:hAnsiTheme="minorAscii"/>
              <w:szCs w:val="28"/>
              <w:lang w:val="en-US" w:eastAsia="zh-CN"/>
            </w:rPr>
            <w:t>附件3：其他相关资料</w:t>
          </w:r>
          <w:r>
            <w:rPr>
              <w:rFonts w:hint="default" w:asciiTheme="minorAscii" w:hAnsiTheme="minorAscii"/>
            </w:rPr>
            <w:tab/>
          </w:r>
          <w:r>
            <w:rPr>
              <w:rFonts w:hint="default" w:asciiTheme="minorAscii" w:hAnsiTheme="minorAscii"/>
              <w:lang w:val="en-US" w:eastAsia="zh-CN"/>
            </w:rPr>
            <w:t>1</w:t>
          </w:r>
          <w:r>
            <w:rPr>
              <w:rFonts w:hint="default" w:asciiTheme="minorAscii" w:hAnsiTheme="minorAscii" w:eastAsiaTheme="minorEastAsia" w:cstheme="minorEastAsia"/>
              <w:szCs w:val="28"/>
              <w:u w:val="single"/>
              <w:lang w:val="en-US" w:eastAsia="zh-CN"/>
            </w:rPr>
            <w:fldChar w:fldCharType="end"/>
          </w:r>
          <w:r>
            <w:rPr>
              <w:rFonts w:hint="default" w:asciiTheme="minorAscii" w:hAnsiTheme="minorAscii" w:cstheme="minorEastAsia"/>
              <w:szCs w:val="28"/>
              <w:u w:val="single"/>
              <w:lang w:val="en-US" w:eastAsia="zh-CN"/>
            </w:rPr>
            <w:t>0</w:t>
          </w:r>
          <w:r>
            <w:rPr>
              <w:rFonts w:hint="eastAsia" w:cstheme="minorEastAsia"/>
              <w:szCs w:val="28"/>
              <w:u w:val="single"/>
              <w:lang w:val="en-US" w:eastAsia="zh-CN"/>
            </w:rPr>
            <w:t>3</w:t>
          </w:r>
        </w:p>
        <w:p>
          <w:pPr>
            <w:rPr>
              <w:rFonts w:hint="eastAsia" w:asciiTheme="minorEastAsia" w:hAnsiTheme="minorEastAsia" w:eastAsiaTheme="minorEastAsia" w:cstheme="minorEastAsia"/>
              <w:sz w:val="28"/>
              <w:szCs w:val="28"/>
              <w:u w:val="single"/>
              <w:lang w:val="en-US" w:eastAsia="zh-CN"/>
            </w:rPr>
          </w:pPr>
          <w:r>
            <w:rPr>
              <w:rFonts w:hint="eastAsia" w:asciiTheme="minorEastAsia" w:hAnsiTheme="minorEastAsia" w:eastAsiaTheme="minorEastAsia" w:cstheme="minorEastAsia"/>
              <w:szCs w:val="28"/>
              <w:u w:val="single"/>
              <w:lang w:val="en-US" w:eastAsia="zh-CN"/>
            </w:rPr>
            <w:fldChar w:fldCharType="end"/>
          </w:r>
        </w:p>
      </w:sdtContent>
    </w:sdt>
    <w:p>
      <w:pPr>
        <w:rPr>
          <w:rFonts w:hint="eastAsia" w:asciiTheme="minorEastAsia" w:hAnsiTheme="minorEastAsia" w:eastAsiaTheme="minorEastAsia" w:cstheme="minorEastAsia"/>
          <w:sz w:val="28"/>
          <w:szCs w:val="28"/>
          <w:u w:val="single"/>
          <w:lang w:val="en-US" w:eastAsia="zh-CN"/>
        </w:rPr>
      </w:pPr>
      <w:bookmarkStart w:id="96" w:name="_GoBack"/>
      <w:bookmarkEnd w:id="96"/>
    </w:p>
    <w:p>
      <w:pPr>
        <w:rPr>
          <w:rFonts w:hint="eastAsia" w:asciiTheme="minorEastAsia" w:hAnsiTheme="minorEastAsia" w:eastAsiaTheme="minorEastAsia" w:cstheme="minorEastAsia"/>
          <w:sz w:val="28"/>
          <w:szCs w:val="28"/>
          <w:u w:val="single"/>
          <w:lang w:val="en-US" w:eastAsia="zh-CN"/>
        </w:rPr>
      </w:pPr>
    </w:p>
    <w:p>
      <w:pPr>
        <w:rPr>
          <w:rFonts w:hint="eastAsia" w:asciiTheme="minorEastAsia" w:hAnsiTheme="minorEastAsia" w:eastAsiaTheme="minorEastAsia" w:cstheme="minorEastAsia"/>
          <w:sz w:val="28"/>
          <w:szCs w:val="28"/>
          <w:u w:val="single"/>
          <w:lang w:val="en-US" w:eastAsia="zh-CN"/>
        </w:rPr>
      </w:pPr>
    </w:p>
    <w:p>
      <w:pPr>
        <w:rPr>
          <w:rFonts w:hint="eastAsia" w:asciiTheme="minorEastAsia" w:hAnsiTheme="minorEastAsia" w:eastAsiaTheme="minorEastAsia" w:cstheme="minorEastAsia"/>
          <w:sz w:val="28"/>
          <w:szCs w:val="28"/>
          <w:u w:val="single"/>
          <w:lang w:val="en-US" w:eastAsia="zh-CN"/>
        </w:rPr>
      </w:pPr>
    </w:p>
    <w:p>
      <w:pPr>
        <w:rPr>
          <w:rFonts w:hint="eastAsia" w:asciiTheme="minorEastAsia" w:hAnsiTheme="minorEastAsia" w:eastAsiaTheme="minorEastAsia" w:cstheme="minorEastAsia"/>
          <w:sz w:val="28"/>
          <w:szCs w:val="28"/>
          <w:u w:val="single"/>
          <w:lang w:val="en-US" w:eastAsia="zh-CN"/>
        </w:rPr>
      </w:pPr>
    </w:p>
    <w:p>
      <w:pPr>
        <w:rPr>
          <w:rFonts w:hint="eastAsia" w:asciiTheme="minorEastAsia" w:hAnsiTheme="minorEastAsia" w:eastAsiaTheme="minorEastAsia" w:cstheme="minorEastAsia"/>
          <w:sz w:val="28"/>
          <w:szCs w:val="28"/>
          <w:u w:val="single"/>
          <w:lang w:val="en-US" w:eastAsia="zh-CN"/>
        </w:rPr>
      </w:pPr>
    </w:p>
    <w:p>
      <w:pPr>
        <w:rPr>
          <w:rFonts w:hint="eastAsia" w:asciiTheme="minorEastAsia" w:hAnsiTheme="minorEastAsia" w:eastAsiaTheme="minorEastAsia" w:cstheme="minorEastAsia"/>
          <w:sz w:val="28"/>
          <w:szCs w:val="28"/>
          <w:u w:val="single"/>
          <w:lang w:val="en-US" w:eastAsia="zh-CN"/>
        </w:rPr>
      </w:pPr>
    </w:p>
    <w:p>
      <w:pPr>
        <w:spacing w:before="0" w:beforeLines="0" w:after="0" w:afterLines="0" w:line="240" w:lineRule="auto"/>
        <w:ind w:left="0" w:leftChars="0" w:right="0" w:rightChars="0" w:firstLine="0" w:firstLineChars="0"/>
        <w:jc w:val="center"/>
        <w:rPr>
          <w:rFonts w:ascii="宋体" w:hAnsi="宋体" w:eastAsia="宋体" w:cstheme="minorBidi"/>
          <w:kern w:val="2"/>
          <w:sz w:val="21"/>
          <w:szCs w:val="24"/>
          <w:lang w:val="en-US" w:eastAsia="zh-CN" w:bidi="ar-SA"/>
        </w:rPr>
        <w:sectPr>
          <w:footerReference r:id="rId4" w:type="default"/>
          <w:pgSz w:w="11906" w:h="16838"/>
          <w:pgMar w:top="1701" w:right="1800" w:bottom="1729"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3"/>
        <w:keepNext/>
        <w:keepLines/>
        <w:pageBreakBefore w:val="0"/>
        <w:widowControl w:val="0"/>
        <w:kinsoku/>
        <w:wordWrap/>
        <w:overflowPunct/>
        <w:topLinePunct w:val="0"/>
        <w:autoSpaceDE/>
        <w:autoSpaceDN/>
        <w:bidi w:val="0"/>
        <w:adjustRightInd/>
        <w:snapToGrid/>
        <w:spacing w:after="220" w:line="440" w:lineRule="exact"/>
        <w:textAlignment w:val="auto"/>
        <w:rPr>
          <w:rFonts w:hint="eastAsia"/>
          <w:lang w:val="en-US" w:eastAsia="zh-CN"/>
        </w:rPr>
      </w:pPr>
      <w:bookmarkStart w:id="0" w:name="_Toc6057"/>
      <w:bookmarkStart w:id="1" w:name="_Toc8108"/>
      <w:r>
        <w:rPr>
          <w:rFonts w:hint="eastAsia"/>
          <w:lang w:val="en-US" w:eastAsia="zh-CN"/>
        </w:rPr>
        <w:t>1项目背景</w:t>
      </w:r>
      <w:bookmarkEnd w:id="0"/>
      <w:bookmarkEnd w:id="1"/>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2" w:name="_Toc24088"/>
      <w:bookmarkStart w:id="3" w:name="_Toc30931"/>
      <w:r>
        <w:rPr>
          <w:rFonts w:hint="eastAsia"/>
          <w:lang w:val="en-US" w:eastAsia="zh-CN"/>
        </w:rPr>
        <w:t>1.1工作由来</w:t>
      </w:r>
      <w:bookmarkEnd w:id="2"/>
      <w:bookmarkEnd w:id="3"/>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南通常佑药业科技有限公司是由上海医药集团下属核心企业常州制药厂有限公司投资的全资子公司，座落在江苏省如东沿海经济开发区高科技产业园，是专门从事</w:t>
      </w:r>
      <w:r>
        <w:rPr>
          <w:rFonts w:hint="default" w:ascii="Times New Roman" w:hAnsi="Times New Roman" w:eastAsia="宋体" w:cs="Times New Roman"/>
          <w:color w:val="0000FF"/>
          <w:sz w:val="24"/>
          <w:szCs w:val="24"/>
        </w:rPr>
        <w:t>生产医药原料药</w:t>
      </w:r>
      <w:r>
        <w:rPr>
          <w:rFonts w:hint="default" w:ascii="Times New Roman" w:hAnsi="Times New Roman" w:eastAsia="宋体" w:cs="Times New Roman"/>
          <w:color w:val="auto"/>
          <w:sz w:val="24"/>
          <w:szCs w:val="24"/>
        </w:rPr>
        <w:t>的专业企业。南通常佑药业科技有限公司未来将依托沿海经济开发区的地理及资源优势，发挥自身的优势，打造一个大规模的原料药生产和出口的特色企业。</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南通常佑药业科技有限公司一期投资10800万元建设年产20吨瑞舒伐他汀钙原料药、10吨阿利吉仑原料药、100吨阿托伐他汀原料药生产项目，该项目已于2012年4月通过南通市环保局批复（通环管[2012]029号），同意建设年产20吨瑞舒伐他汀钙原料药、10吨阿利吉仑原料药项目，100吨阿托伐他汀原料药暂缓建设。该项目于2013年8月29日经南通市环保局同意投入试生产（通环监察函[2013]005号），2013年11月15日，南通市环保局同意该项目试生产延期至2014年5月31日。由于验收监测需要一定周期，2014年5月16日，南通市环保局同意该项目试生产延期至2014年8月28日。在试生产过程中，由于厂区内拟增加1座甲类仓库和1座丙类仓库，且污水处理站恶臭处理工艺由“物化喷淋+生物滤池”调整为“洗涤-生物滤床过滤联合除臭装置”，该项目于2014年8月进行了修编，于2014年8月18日通过南通市环保局批复（通环管函[2014]19号）。整个项目于2014年11月24日通过了南通市环保局环保竣工验收（通环验[2014]0110号），目前正常运行。</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0000FF"/>
          <w:sz w:val="24"/>
          <w:szCs w:val="24"/>
        </w:rPr>
        <w:t>南通常佑药业科技有限公司于2014年新增投资10414.45万元建设年产113.8吨原料药项目，该项目于2017年3月取得南通市环保局批复（通行审批[2017]114号），于2020年4月完成竣工环境保护自主验收，目前正常生产。南通常佑药业科技有限公司于2020年建设《南通常佑药业科技有限公司质检楼建设项目》，该项目于2020年3月9日通过了如东县行政审批局的审批（东行审环[2020]12号），于2022年3月完成竣工环境保护自主验收，目前正常生产。</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2020年5月，如东生态环境局与南通常佑药业科技有限公司签订了《土壤污染防治责任书》。</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val="en-US" w:eastAsia="zh-CN"/>
        </w:rPr>
        <w:t>根据《中华人民共和国土壤污染防治法》、《工矿用地土壤环境管理办法（试行）》（生态环境部令第3号）、《重点排污单位名录管理规定（试行）》（环办监测〔2017〕86号）等有关规定，为强化重点行业企业环境监管，做好土壤污染源头防范</w:t>
      </w:r>
      <w:r>
        <w:rPr>
          <w:rFonts w:hint="default" w:ascii="Times New Roman" w:hAnsi="Times New Roman" w:eastAsia="宋体" w:cs="Times New Roman"/>
          <w:color w:val="auto"/>
          <w:sz w:val="24"/>
          <w:szCs w:val="24"/>
          <w:highlight w:val="none"/>
          <w:lang w:val="en-US" w:eastAsia="zh-CN"/>
        </w:rPr>
        <w:t>工作，南通市土壤污染防治工作协调小组办公室于2021年4月研究制定了关于加强土壤污染重点监管单位土壤环境管理工作的通知(通环土〔2021〕7号)，要求各地政府（管委会）与辖区内重点监管单位签订土壤污染防治责任书并向社会公开，并督促纳入名录的单位切实落实土壤污染防治主体责任。</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2021年</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月南通常佑药业科技有限公司按照相关要求委托江苏裕和检测技术有限公司依据《在产企业土壤及地下水自行监测技术指南》（报批稿）等相关标准要求对本公司土壤和地下水进行了一次全面检测，并编制了《南通常佑药业科技有限公司土壤和地下水自行监测报告》。</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2022年</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月南通常佑药业科技有限公司根据《工业企业土壤和地下水自行监测技术指南（试行）》（HJ 1209-2021）、《建设用地土壤污染状况调查技术导则》（HJ25.1-2019）、《建设用地土壤污染风险管控和修复监测技术导则》（HJ25.2-2019）等技术规范要求，结合本公司场地历史发展状况、历史检测报告、厂区平面布置、生产工艺、原辅材料及产品的储存、污染物的处置及排放、周边敏感受体及场地水文地质条件等情况调查的基础上，制定了《2022年度土壤和地下水自行监测方案》。2022年9月1</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日-</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月</w:t>
      </w:r>
      <w:r>
        <w:rPr>
          <w:rFonts w:hint="eastAsia" w:ascii="Times New Roman" w:hAnsi="Times New Roman" w:eastAsia="宋体" w:cs="Times New Roman"/>
          <w:color w:val="auto"/>
          <w:sz w:val="24"/>
          <w:szCs w:val="24"/>
          <w:highlight w:val="none"/>
          <w:lang w:val="en-US" w:eastAsia="zh-CN"/>
        </w:rPr>
        <w:t>19</w:t>
      </w:r>
      <w:r>
        <w:rPr>
          <w:rFonts w:hint="default" w:ascii="Times New Roman" w:hAnsi="Times New Roman" w:eastAsia="宋体" w:cs="Times New Roman"/>
          <w:color w:val="auto"/>
          <w:sz w:val="24"/>
          <w:szCs w:val="24"/>
          <w:highlight w:val="none"/>
          <w:lang w:val="en-US" w:eastAsia="zh-CN"/>
        </w:rPr>
        <w:t>日江苏绿泰检测科技有限公司组织专业技术人员对企业的土壤、地下水开展现场采样工作，并于2022年10月</w:t>
      </w:r>
      <w:r>
        <w:rPr>
          <w:rFonts w:hint="eastAsia"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val="en-US" w:eastAsia="zh-CN"/>
        </w:rPr>
        <w:t>日</w:t>
      </w:r>
      <w:r>
        <w:rPr>
          <w:rFonts w:hint="eastAsia" w:ascii="Times New Roman" w:hAnsi="Times New Roman" w:eastAsia="宋体" w:cs="Times New Roman"/>
          <w:color w:val="auto"/>
          <w:sz w:val="24"/>
          <w:szCs w:val="24"/>
          <w:highlight w:val="none"/>
          <w:lang w:val="en-US" w:eastAsia="zh-CN"/>
        </w:rPr>
        <w:t>及10月19日</w:t>
      </w:r>
      <w:r>
        <w:rPr>
          <w:rFonts w:hint="default" w:ascii="Times New Roman" w:hAnsi="Times New Roman" w:eastAsia="宋体" w:cs="Times New Roman"/>
          <w:color w:val="auto"/>
          <w:sz w:val="24"/>
          <w:szCs w:val="24"/>
          <w:highlight w:val="none"/>
          <w:lang w:val="en-US" w:eastAsia="zh-CN"/>
        </w:rPr>
        <w:t>出具检测数据报告（LT22039</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A11</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LT22039</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A1</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）。在此基础上编制完成了《南通常佑药业科技有限公司土壤和地下水自行监测报告》。</w:t>
      </w:r>
      <w:r>
        <w:rPr>
          <w:rFonts w:hint="default" w:ascii="Times New Roman" w:hAnsi="Times New Roman" w:eastAsia="宋体" w:cs="Times New Roman"/>
          <w:color w:val="auto"/>
          <w:sz w:val="24"/>
          <w:szCs w:val="24"/>
          <w:lang w:val="en-US" w:eastAsia="zh-CN"/>
        </w:rPr>
        <w:t xml:space="preserve"> </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ascii="Times New Roman" w:hAnsi="Times New Roman" w:cs="Times New Roman"/>
          <w:lang w:val="en-US" w:eastAsia="zh-CN"/>
        </w:rPr>
      </w:pPr>
      <w:bookmarkStart w:id="4" w:name="_Toc30852"/>
      <w:bookmarkStart w:id="5" w:name="_Toc23645"/>
      <w:r>
        <w:rPr>
          <w:rFonts w:hint="default" w:ascii="Times New Roman" w:hAnsi="Times New Roman" w:cs="Times New Roman"/>
          <w:lang w:val="en-US" w:eastAsia="zh-CN"/>
        </w:rPr>
        <w:t>1.2工作依据</w:t>
      </w:r>
      <w:bookmarkEnd w:id="4"/>
      <w:bookmarkEnd w:id="5"/>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ascii="Times New Roman" w:hAnsi="Times New Roman" w:cs="Times New Roman"/>
        </w:rPr>
      </w:pPr>
      <w:bookmarkStart w:id="6" w:name="_Toc27796"/>
      <w:r>
        <w:rPr>
          <w:rStyle w:val="22"/>
          <w:rFonts w:hint="default" w:ascii="Times New Roman" w:hAnsi="Times New Roman" w:cs="Times New Roman"/>
          <w:b/>
          <w:lang w:val="en-US" w:eastAsia="zh-CN"/>
        </w:rPr>
        <w:t>1.2.1 法律法规</w:t>
      </w:r>
      <w:bookmarkEnd w:id="6"/>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（1）《中华人民共和国环境保护法》（2015年1月1日）；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 xml:space="preserve">（2）《中华人民共和国土壤污染防治法》（2019年1月1日）；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（3）《中华人民共和国水污染防治法》（2018年1月1日）；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《中华人民共和国固体废物污染环境防治法》（2020年9月1日</w:t>
      </w:r>
      <w:r>
        <w:rPr>
          <w:rFonts w:hint="default" w:ascii="Times New Roman" w:hAnsi="Times New Roman" w:eastAsia="宋体" w:cs="Times New Roman"/>
          <w:color w:val="auto"/>
          <w:sz w:val="24"/>
          <w:szCs w:val="24"/>
          <w:lang w:val="en-US" w:eastAsia="zh-CN"/>
        </w:rPr>
        <w:t>施行</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ascii="Times New Roman" w:hAnsi="Times New Roman" w:cs="Times New Roman"/>
        </w:rPr>
      </w:pPr>
      <w:bookmarkStart w:id="7" w:name="_Toc24814"/>
      <w:r>
        <w:rPr>
          <w:rFonts w:hint="default" w:ascii="Times New Roman" w:hAnsi="Times New Roman" w:cs="Times New Roman"/>
          <w:lang w:val="en-US" w:eastAsia="zh-CN"/>
        </w:rPr>
        <w:t>1.2.2 国家、省级、地方政策文件</w:t>
      </w:r>
      <w:bookmarkEnd w:id="7"/>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（1）《土壤污染防治行动计划》（国发〔2016〕31号）；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（2）《污染场地土壤环境管理办法（试行）》（环境保护部令第42号）；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（3）《江苏省土壤污染防治工作方案》（苏政发〔2016〕169号）；</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（4）《南通市土壤污染防治工作方案》（2017年3月）；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（5）《关于加强土壤污染重点监管单位土壤环境管理工作的通知》（通环土〔2021〕7号）。 </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ascii="Times New Roman" w:hAnsi="Times New Roman" w:cs="Times New Roman"/>
        </w:rPr>
      </w:pPr>
      <w:bookmarkStart w:id="8" w:name="_Toc21615"/>
      <w:r>
        <w:rPr>
          <w:rFonts w:hint="default" w:ascii="Times New Roman" w:hAnsi="Times New Roman" w:cs="Times New Roman"/>
          <w:lang w:val="en-US" w:eastAsia="zh-CN"/>
        </w:rPr>
        <w:t>1.2.3 相关标准、技术规范</w:t>
      </w:r>
      <w:bookmarkEnd w:id="8"/>
      <w:r>
        <w:rPr>
          <w:rFonts w:hint="default" w:ascii="Times New Roman" w:hAnsi="Times New Roman" w:cs="Times New Roman"/>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（1）《土壤环境质量 建设用地土壤污染风险管控标准》（GB 36600-2018）；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（2）《地下水质量标准》（GB/T 14848-2017）；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（3）《工</w:t>
      </w:r>
      <w:r>
        <w:rPr>
          <w:rFonts w:hint="eastAsia" w:ascii="Times New Roman" w:hAnsi="Times New Roman" w:eastAsia="宋体" w:cs="Times New Roman"/>
          <w:color w:val="auto"/>
          <w:sz w:val="24"/>
          <w:szCs w:val="24"/>
          <w:lang w:val="en-US" w:eastAsia="zh-CN"/>
        </w:rPr>
        <w:t>业</w:t>
      </w:r>
      <w:r>
        <w:rPr>
          <w:rFonts w:hint="default" w:ascii="Times New Roman" w:hAnsi="Times New Roman" w:eastAsia="宋体" w:cs="Times New Roman"/>
          <w:color w:val="auto"/>
          <w:sz w:val="24"/>
          <w:szCs w:val="24"/>
          <w:lang w:val="en-US" w:eastAsia="zh-CN"/>
        </w:rPr>
        <w:t xml:space="preserve">企业土壤及地下水自行监测技术指南（试行）》（HJ1209-2021）；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（4）《建设用地土壤污染状况调查技术导则》（HJ25.1-2019）；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（5）《建设用地土壤污染风险管控和修复监测技术导则》（HJ25.2-2019）；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（6）《土壤环境监测技术规范》（HJ/T166-2004)；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（7）《地下水环境监测技术规范》（HJ164-2020）；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（8） 《地块土壤和地下水中挥发性有机物采样技术导则》（HJ 1019-2019）。</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pPr>
      <w:bookmarkStart w:id="9" w:name="_Toc430"/>
      <w:r>
        <w:rPr>
          <w:rStyle w:val="22"/>
          <w:rFonts w:hint="eastAsia"/>
          <w:b/>
          <w:lang w:val="en-US" w:eastAsia="zh-CN"/>
        </w:rPr>
        <w:t>1.2.4 企业相关资料</w:t>
      </w:r>
      <w:bookmarkEnd w:id="9"/>
      <w:r>
        <w:rPr>
          <w:rFonts w:hint="eastAsia" w:ascii="宋体" w:hAnsi="宋体" w:eastAsia="宋体" w:cs="宋体"/>
          <w:b/>
          <w:color w:val="000000"/>
          <w:kern w:val="0"/>
          <w:sz w:val="28"/>
          <w:szCs w:val="28"/>
          <w:lang w:val="en-US" w:eastAsia="zh-CN" w:bidi="ar"/>
        </w:rPr>
        <w:t xml:space="preserve">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（1）市环保局关于《南通常佑化工有限公司年产20吨瑞舒伐他汀钙原料药、10吨阿利吉仑原料药、100吨阿托伐他汀原料药生产项目环境影响报告书》的批复（通环管[2012]029号）；</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（2）关于南通常佑药业科技有限公司年产20吨瑞舒伐他汀钙原料药、10吨阿利吉仑原料药项目环保竣工验收的批复（通环验[2014]0110号）；</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lang w:val="en-US" w:eastAsia="zh-CN"/>
        </w:rPr>
      </w:pPr>
      <w:r>
        <w:rPr>
          <w:rFonts w:hint="default" w:ascii="Times New Roman" w:hAnsi="Times New Roman" w:eastAsia="宋体" w:cs="Times New Roman"/>
          <w:color w:val="auto"/>
          <w:sz w:val="24"/>
          <w:szCs w:val="24"/>
          <w:lang w:val="en-US" w:eastAsia="zh-CN"/>
        </w:rPr>
        <w:t>（3）市行政审批局关于南通常佑药业科技有限公司年产113.80吨原料药建设项目环境影响报告的批复；（通行审批[2017]114号）</w:t>
      </w:r>
      <w:r>
        <w:rPr>
          <w:rFonts w:hint="eastAsia" w:ascii="Times New Roman" w:hAnsi="Times New Roman" w:eastAsia="宋体" w:cs="Times New Roman"/>
          <w:color w:val="auto"/>
          <w:sz w:val="24"/>
          <w:szCs w:val="24"/>
          <w:lang w:val="en-US" w:eastAsia="zh-CN"/>
        </w:rPr>
        <w:t>。</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pPr>
      <w:bookmarkStart w:id="10" w:name="_Toc13918"/>
      <w:r>
        <w:rPr>
          <w:rFonts w:hint="default"/>
          <w:lang w:val="en-US" w:eastAsia="zh-CN"/>
        </w:rPr>
        <w:t xml:space="preserve">1.2.5 </w:t>
      </w:r>
      <w:r>
        <w:rPr>
          <w:rFonts w:hint="eastAsia"/>
          <w:lang w:val="en-US" w:eastAsia="zh-CN"/>
        </w:rPr>
        <w:t>土壤、地下水执行标准</w:t>
      </w:r>
      <w:bookmarkEnd w:id="10"/>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lang w:val="en-US" w:eastAsia="zh-CN"/>
        </w:rPr>
      </w:pPr>
      <w:r>
        <w:rPr>
          <w:rFonts w:hint="default" w:ascii="Times New Roman" w:hAnsi="Times New Roman" w:eastAsia="宋体" w:cs="Times New Roman"/>
          <w:color w:val="auto"/>
          <w:sz w:val="24"/>
          <w:szCs w:val="24"/>
          <w:lang w:val="en-US" w:eastAsia="zh-CN"/>
        </w:rPr>
        <w:t>土壤执行《土壤环境质量 建设用地土壤污染风险管控标准》（GB 36600-2018）中的第二类用地标准，地下水执行《地下水质量标准》（GB/T 14848-2017）中的Ⅳ类标准。</w:t>
      </w:r>
      <w:r>
        <w:rPr>
          <w:rFonts w:hint="eastAsia" w:ascii="宋体" w:hAnsi="宋体" w:eastAsia="宋体" w:cs="宋体"/>
          <w:color w:val="auto"/>
          <w:sz w:val="24"/>
          <w:szCs w:val="24"/>
          <w:lang w:val="en-US" w:eastAsia="zh-CN"/>
        </w:rPr>
        <w:t xml:space="preserve"> </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11" w:name="_Toc9058"/>
      <w:bookmarkStart w:id="12" w:name="_Toc10232"/>
      <w:r>
        <w:rPr>
          <w:rFonts w:hint="eastAsia"/>
          <w:lang w:val="en-US" w:eastAsia="zh-CN"/>
        </w:rPr>
        <w:t>1.3工作内容及技术路线</w:t>
      </w:r>
      <w:bookmarkEnd w:id="11"/>
      <w:bookmarkEnd w:id="12"/>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13" w:name="_Toc5465"/>
      <w:r>
        <w:rPr>
          <w:rFonts w:hint="eastAsia"/>
          <w:lang w:val="en-US" w:eastAsia="zh-CN"/>
        </w:rPr>
        <w:t>1.3.1工作内容</w:t>
      </w:r>
      <w:bookmarkEnd w:id="13"/>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开展企业地块的资料收集、现场踏勘、人员访谈、重点区域及设施识别等工作，摸清企业地块内重点区域及设施的基本情况，根据各区域及设施信息、特征污染物类型、污染物进入土壤和地下水的途径等，识别企业内部存在土壤及地下水污染隐患的区域及设施，作为重点区域及设施在企业平面布置图中标记。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根据初步调查结果，识别本企业存在土壤及地下水污染隐患的区域或设施并确定其对应的特征污染物，对识别的重点区域及设施制定具体采样布点方案，制定自行监测方案。自行监测方案经备案后，将开展土壤及地下水的自行监测，根据实验室分析结果，出具检测报告及提出相应的建议。</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14" w:name="_Toc29463"/>
      <w:r>
        <w:rPr>
          <w:rFonts w:hint="eastAsia"/>
          <w:lang w:val="en-US" w:eastAsia="zh-CN"/>
        </w:rPr>
        <w:t>1.3.2技术路线</w:t>
      </w:r>
      <w:bookmarkEnd w:id="14"/>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根据《场地环境调查技术导则》（HJ 25.1-2019）和《工</w:t>
      </w:r>
      <w:r>
        <w:rPr>
          <w:rFonts w:hint="eastAsia" w:ascii="Times New Roman" w:hAnsi="Times New Roman" w:eastAsia="宋体" w:cs="Times New Roman"/>
          <w:color w:val="auto"/>
          <w:sz w:val="24"/>
          <w:szCs w:val="24"/>
          <w:highlight w:val="none"/>
          <w:lang w:val="en-US" w:eastAsia="zh-CN"/>
        </w:rPr>
        <w:t>业</w:t>
      </w:r>
      <w:r>
        <w:rPr>
          <w:rFonts w:hint="default" w:ascii="Times New Roman" w:hAnsi="Times New Roman" w:eastAsia="宋体" w:cs="Times New Roman"/>
          <w:color w:val="auto"/>
          <w:sz w:val="24"/>
          <w:szCs w:val="24"/>
          <w:highlight w:val="none"/>
          <w:lang w:val="en-US" w:eastAsia="zh-CN"/>
        </w:rPr>
        <w:t xml:space="preserve">企业土壤及地下水自行监测技术指南（试行）》（HJ1209-2021）等技术要求的相关要求。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本次企业场地环境初步调查的工作内容主要包括资料收集与分析、现场踏勘、人员访谈和初步采样监测。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通过资料收集与分析、现场踏勘和人员访谈的调查结果，对场地内或周围区域存在可能的污染源，初步确定污染物种类、浓度（程度）和空间分布。具体技术路线见图1.3</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40" w:lineRule="atLeast"/>
        <w:ind w:firstLine="420" w:firstLineChars="200"/>
        <w:textAlignment w:val="auto"/>
        <w:rPr>
          <w:rFonts w:hint="eastAsia" w:asciiTheme="minorEastAsia" w:hAnsiTheme="minorEastAsia" w:eastAsiaTheme="minorEastAsia" w:cstheme="minorEastAsia"/>
          <w:color w:val="auto"/>
          <w:sz w:val="24"/>
          <w:szCs w:val="24"/>
          <w:lang w:val="en-US" w:eastAsia="zh-CN"/>
        </w:rPr>
      </w:pPr>
      <w:r>
        <w:drawing>
          <wp:anchor distT="0" distB="0" distL="114300" distR="114300" simplePos="0" relativeHeight="251664384" behindDoc="0" locked="0" layoutInCell="1" allowOverlap="1">
            <wp:simplePos x="0" y="0"/>
            <wp:positionH relativeFrom="column">
              <wp:posOffset>266700</wp:posOffset>
            </wp:positionH>
            <wp:positionV relativeFrom="page">
              <wp:posOffset>1085850</wp:posOffset>
            </wp:positionV>
            <wp:extent cx="4709160" cy="6560820"/>
            <wp:effectExtent l="0" t="0" r="0" b="7620"/>
            <wp:wrapSquare wrapText="bothSides"/>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a:stretch>
                      <a:fillRect/>
                    </a:stretch>
                  </pic:blipFill>
                  <pic:spPr>
                    <a:xfrm>
                      <a:off x="0" y="0"/>
                      <a:ext cx="4709160" cy="656082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40" w:lineRule="atLeast"/>
        <w:ind w:firstLine="482" w:firstLineChars="200"/>
        <w:jc w:val="center"/>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图1.3</w:t>
      </w:r>
      <w:r>
        <w:rPr>
          <w:rFonts w:hint="eastAsia" w:ascii="Times New Roman" w:hAnsi="Times New Roman" w:cs="Times New Roman"/>
          <w:b/>
          <w:bCs/>
          <w:color w:val="auto"/>
          <w:sz w:val="24"/>
          <w:szCs w:val="24"/>
          <w:lang w:val="en-US" w:eastAsia="zh-CN"/>
        </w:rPr>
        <w:t>-1</w:t>
      </w:r>
      <w:r>
        <w:rPr>
          <w:rFonts w:hint="default" w:ascii="Times New Roman" w:hAnsi="Times New Roman" w:cs="Times New Roman"/>
          <w:b/>
          <w:bCs/>
          <w:color w:val="auto"/>
          <w:sz w:val="24"/>
          <w:szCs w:val="24"/>
          <w:lang w:val="en-US" w:eastAsia="zh-CN"/>
        </w:rPr>
        <w:t xml:space="preserve"> 技术路线</w:t>
      </w:r>
    </w:p>
    <w:p>
      <w:pPr>
        <w:keepNext w:val="0"/>
        <w:keepLines w:val="0"/>
        <w:pageBreakBefore w:val="0"/>
        <w:widowControl w:val="0"/>
        <w:kinsoku/>
        <w:wordWrap/>
        <w:overflowPunct/>
        <w:topLinePunct w:val="0"/>
        <w:autoSpaceDE/>
        <w:autoSpaceDN/>
        <w:bidi w:val="0"/>
        <w:adjustRightInd/>
        <w:snapToGrid/>
        <w:spacing w:line="440" w:lineRule="atLeast"/>
        <w:jc w:val="both"/>
        <w:textAlignment w:val="auto"/>
        <w:rPr>
          <w:rFonts w:hint="default" w:asciiTheme="minorEastAsia" w:hAnsiTheme="minorEastAsia" w:cstheme="minorEastAsia"/>
          <w:b/>
          <w:bCs/>
          <w:color w:val="auto"/>
          <w:sz w:val="24"/>
          <w:szCs w:val="24"/>
          <w:lang w:val="en-US" w:eastAsia="zh-CN"/>
        </w:rPr>
      </w:pPr>
    </w:p>
    <w:p>
      <w:pPr>
        <w:pStyle w:val="2"/>
        <w:rPr>
          <w:rFonts w:hint="default"/>
          <w:lang w:val="en-US" w:eastAsia="zh-CN"/>
        </w:rPr>
      </w:pPr>
    </w:p>
    <w:p>
      <w:pPr>
        <w:pStyle w:val="3"/>
        <w:keepNext/>
        <w:keepLines/>
        <w:pageBreakBefore w:val="0"/>
        <w:widowControl w:val="0"/>
        <w:numPr>
          <w:ilvl w:val="0"/>
          <w:numId w:val="1"/>
        </w:numPr>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15" w:name="_Toc25327"/>
      <w:bookmarkStart w:id="16" w:name="_Toc32133"/>
      <w:r>
        <w:rPr>
          <w:rFonts w:hint="eastAsia"/>
          <w:lang w:val="en-US" w:eastAsia="zh-CN"/>
        </w:rPr>
        <w:t>企业概况</w:t>
      </w:r>
      <w:bookmarkEnd w:id="15"/>
      <w:bookmarkEnd w:id="16"/>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lang w:val="en-US" w:eastAsia="zh-CN"/>
        </w:rPr>
      </w:pPr>
      <w:bookmarkStart w:id="17" w:name="_Toc17276"/>
      <w:bookmarkStart w:id="18" w:name="_Toc18461"/>
      <w:r>
        <w:rPr>
          <w:rFonts w:hint="eastAsia"/>
          <w:lang w:val="en-US" w:eastAsia="zh-CN"/>
        </w:rPr>
        <w:t>2.1企业</w:t>
      </w:r>
      <w:bookmarkEnd w:id="17"/>
      <w:r>
        <w:rPr>
          <w:rFonts w:hint="eastAsia"/>
          <w:lang w:val="en-US" w:eastAsia="zh-CN"/>
        </w:rPr>
        <w:t>名称、地址、坐标等</w:t>
      </w:r>
      <w:bookmarkEnd w:id="18"/>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bookmarkStart w:id="19" w:name="_Toc3748"/>
      <w:r>
        <w:rPr>
          <w:rFonts w:hint="default" w:ascii="Times New Roman" w:hAnsi="Times New Roman" w:eastAsia="宋体" w:cs="Times New Roman"/>
          <w:color w:val="auto"/>
          <w:sz w:val="24"/>
          <w:szCs w:val="24"/>
          <w:highlight w:val="none"/>
          <w:lang w:val="en-US" w:eastAsia="zh-CN"/>
        </w:rPr>
        <w:t>南通常佑药业科技有限公司位于如东沿海经济开发区高科技产业园二期，</w:t>
      </w:r>
      <w:r>
        <w:rPr>
          <w:rFonts w:hint="eastAsia" w:ascii="Times New Roman" w:hAnsi="Times New Roman" w:eastAsia="宋体" w:cs="Times New Roman"/>
          <w:color w:val="auto"/>
          <w:sz w:val="24"/>
          <w:szCs w:val="24"/>
          <w:highlight w:val="none"/>
          <w:lang w:val="en-US" w:eastAsia="zh-CN"/>
        </w:rPr>
        <w:t>占</w:t>
      </w:r>
      <w:r>
        <w:rPr>
          <w:rFonts w:hint="default" w:ascii="Times New Roman" w:hAnsi="Times New Roman" w:eastAsia="宋体" w:cs="Times New Roman"/>
          <w:color w:val="auto"/>
          <w:sz w:val="24"/>
          <w:szCs w:val="24"/>
          <w:highlight w:val="none"/>
          <w:lang w:val="en-US" w:eastAsia="zh-CN"/>
        </w:rPr>
        <w:t>地面积108661m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厂界东北为海滨二路，隔海滨二路为浙江三美化学；东南为通海四路，隔通海四路为博莱特；西南为风光大道，隔风光大道为空地；西北为通海三路，隔通海三路为德发公司。本项目中心位置经纬度：东经121.078219 °，北纬32.530433°。</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厂区地理位置见</w:t>
      </w:r>
      <w:r>
        <w:rPr>
          <w:rFonts w:hint="default" w:ascii="Times New Roman" w:hAnsi="Times New Roman" w:eastAsia="宋体" w:cs="Times New Roman"/>
          <w:color w:val="auto"/>
          <w:sz w:val="24"/>
          <w:szCs w:val="24"/>
          <w:highlight w:val="none"/>
          <w:lang w:val="en-US" w:eastAsia="zh-CN"/>
        </w:rPr>
        <w:t>图2.1-1。</w:t>
      </w:r>
    </w:p>
    <w:p>
      <w:pPr>
        <w:pStyle w:val="11"/>
      </w:pPr>
    </w:p>
    <w:p>
      <w:pPr>
        <w:pStyle w:val="11"/>
        <w:jc w:val="center"/>
        <w:rPr>
          <w:rFonts w:hint="eastAsia"/>
          <w:lang w:val="en-US" w:eastAsia="zh-CN"/>
        </w:rPr>
      </w:pPr>
      <w:r>
        <w:drawing>
          <wp:inline distT="0" distB="0" distL="114300" distR="114300">
            <wp:extent cx="5271135" cy="4932680"/>
            <wp:effectExtent l="0" t="0" r="5715" b="127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0"/>
                    <a:stretch>
                      <a:fillRect/>
                    </a:stretch>
                  </pic:blipFill>
                  <pic:spPr>
                    <a:xfrm>
                      <a:off x="0" y="0"/>
                      <a:ext cx="5271135" cy="4932680"/>
                    </a:xfrm>
                    <a:prstGeom prst="rect">
                      <a:avLst/>
                    </a:prstGeom>
                    <a:noFill/>
                    <a:ln>
                      <a:noFill/>
                    </a:ln>
                  </pic:spPr>
                </pic:pic>
              </a:graphicData>
            </a:graphic>
          </wp:inline>
        </w:drawing>
      </w:r>
      <w:r>
        <w:rPr>
          <w:rFonts w:hint="eastAsia" w:asciiTheme="minorEastAsia" w:hAnsiTheme="minorEastAsia" w:cstheme="minorEastAsia"/>
          <w:b/>
          <w:bCs/>
          <w:color w:val="auto"/>
          <w:sz w:val="24"/>
          <w:szCs w:val="24"/>
          <w:highlight w:val="none"/>
          <w:lang w:val="en-US" w:eastAsia="zh-CN"/>
        </w:rPr>
        <w:t>图</w:t>
      </w:r>
      <w:r>
        <w:rPr>
          <w:rFonts w:hint="default" w:ascii="Times New Roman" w:hAnsi="Times New Roman" w:cs="Times New Roman"/>
          <w:b/>
          <w:bCs/>
          <w:color w:val="auto"/>
          <w:sz w:val="24"/>
          <w:szCs w:val="24"/>
          <w:highlight w:val="none"/>
          <w:lang w:val="en-US" w:eastAsia="zh-CN"/>
        </w:rPr>
        <w:t>2.1-1</w:t>
      </w:r>
      <w:r>
        <w:rPr>
          <w:rFonts w:hint="eastAsia" w:asciiTheme="minorEastAsia" w:hAnsiTheme="minorEastAsia" w:cstheme="minorEastAsia"/>
          <w:b/>
          <w:bCs/>
          <w:color w:val="auto"/>
          <w:sz w:val="24"/>
          <w:szCs w:val="24"/>
          <w:highlight w:val="none"/>
          <w:lang w:val="en-US" w:eastAsia="zh-CN"/>
        </w:rPr>
        <w:t xml:space="preserve"> 厂区地理位置图</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sectPr>
          <w:footerReference r:id="rId5" w:type="default"/>
          <w:pgSz w:w="11906" w:h="16838"/>
          <w:pgMar w:top="1440" w:right="1797" w:bottom="1440" w:left="1797" w:header="851" w:footer="992" w:gutter="0"/>
          <w:paperSrc w:first="12511"/>
          <w:pgBorders>
            <w:top w:val="none" w:sz="0" w:space="0"/>
            <w:left w:val="none" w:sz="0" w:space="0"/>
            <w:bottom w:val="none" w:sz="0" w:space="0"/>
            <w:right w:val="none" w:sz="0" w:space="0"/>
          </w:pgBorders>
          <w:pgNumType w:fmt="decimal" w:start="1"/>
          <w:cols w:space="720" w:num="1"/>
          <w:docGrid w:linePitch="312" w:charSpace="0"/>
        </w:sectPr>
      </w:pP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lang w:val="en-US" w:eastAsia="zh-CN"/>
        </w:rPr>
      </w:pPr>
      <w:bookmarkStart w:id="20" w:name="_Toc19105"/>
      <w:r>
        <w:rPr>
          <w:rFonts w:hint="eastAsia"/>
          <w:lang w:val="en-US" w:eastAsia="zh-CN"/>
        </w:rPr>
        <w:t>2.2企业</w:t>
      </w:r>
      <w:bookmarkEnd w:id="19"/>
      <w:r>
        <w:rPr>
          <w:rFonts w:hint="eastAsia"/>
          <w:lang w:val="en-US" w:eastAsia="zh-CN"/>
        </w:rPr>
        <w:t>用地历史、行业分类、经营范围等</w:t>
      </w:r>
      <w:bookmarkEnd w:id="20"/>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南通常佑药业科技有限公司2009年至20</w:t>
      </w:r>
      <w:r>
        <w:rPr>
          <w:rFonts w:hint="eastAsia" w:ascii="Times New Roman" w:hAnsi="Times New Roman" w:eastAsia="宋体"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lang w:val="en-US" w:eastAsia="zh-CN"/>
        </w:rPr>
        <w:t>年地块历史情况见图2</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1，企业地块2009年以前为荒地。</w:t>
      </w:r>
    </w:p>
    <w:p>
      <w:pPr>
        <w:pStyle w:val="2"/>
        <w:rPr>
          <w:rFonts w:hint="default"/>
          <w:lang w:val="en-US" w:eastAsia="zh-CN"/>
        </w:rPr>
      </w:pPr>
      <w:r>
        <w:drawing>
          <wp:inline distT="0" distB="0" distL="114300" distR="114300">
            <wp:extent cx="5274945" cy="5739765"/>
            <wp:effectExtent l="0" t="0" r="1905" b="1333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1"/>
                    <a:stretch>
                      <a:fillRect/>
                    </a:stretch>
                  </pic:blipFill>
                  <pic:spPr>
                    <a:xfrm>
                      <a:off x="0" y="0"/>
                      <a:ext cx="5274945" cy="57397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40" w:lineRule="atLeast"/>
        <w:ind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图2.2-1 地块历史信息</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lang w:val="en-US" w:eastAsia="zh-CN"/>
        </w:rPr>
      </w:pPr>
      <w:r>
        <w:rPr>
          <w:rFonts w:hint="default" w:ascii="Times New Roman" w:hAnsi="Times New Roman" w:eastAsia="宋体" w:cs="Times New Roman"/>
          <w:color w:val="auto"/>
          <w:sz w:val="24"/>
          <w:szCs w:val="24"/>
          <w:highlight w:val="none"/>
          <w:lang w:val="en-US" w:eastAsia="zh-CN"/>
        </w:rPr>
        <w:t>南通常佑药业科技有限公司</w:t>
      </w:r>
      <w:r>
        <w:rPr>
          <w:rFonts w:hint="eastAsia" w:ascii="Times New Roman" w:hAnsi="Times New Roman" w:eastAsia="宋体" w:cs="Times New Roman"/>
          <w:color w:val="auto"/>
          <w:sz w:val="24"/>
          <w:szCs w:val="24"/>
          <w:highlight w:val="none"/>
          <w:lang w:val="en-US" w:eastAsia="zh-CN"/>
        </w:rPr>
        <w:t>经营范围为</w:t>
      </w:r>
      <w:r>
        <w:rPr>
          <w:rFonts w:hint="default" w:ascii="Times New Roman" w:hAnsi="Times New Roman" w:eastAsia="宋体" w:cs="Times New Roman"/>
          <w:color w:val="auto"/>
          <w:sz w:val="24"/>
          <w:szCs w:val="24"/>
          <w:highlight w:val="none"/>
          <w:lang w:val="en-US" w:eastAsia="zh-CN"/>
        </w:rPr>
        <w:t>制药技术的研究开发；化工产品（瑞舒伐他汀钙、阿利吉仑、普瑞巴林、依泽替米贝、索非布韦、替卡格雷、坎格列净、达卡他韦二盐酸盐、沙库比曲、维帕他韦共聚维酮、利伐沙班、塞来昔布的原料药）生产、销售；自营和代理各类商品进出口业务（国家限定公司经营或禁止进出口的商品除外）。</w:t>
      </w:r>
      <w:r>
        <w:rPr>
          <w:rFonts w:hint="eastAsia" w:ascii="Times New Roman" w:hAnsi="Times New Roman" w:eastAsia="宋体" w:cs="Times New Roman"/>
          <w:color w:val="auto"/>
          <w:sz w:val="24"/>
          <w:szCs w:val="24"/>
          <w:highlight w:val="none"/>
          <w:lang w:val="en-US" w:eastAsia="zh-CN"/>
        </w:rPr>
        <w:t xml:space="preserve">行业类别涉及化学药品原料药制造。 </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21" w:name="_Toc18292"/>
      <w:bookmarkStart w:id="22" w:name="_Toc31836"/>
      <w:r>
        <w:rPr>
          <w:rFonts w:hint="eastAsia"/>
          <w:lang w:val="en-US" w:eastAsia="zh-CN"/>
        </w:rPr>
        <w:t>2.3企业用地已有的环境调查与监测信息</w:t>
      </w:r>
      <w:bookmarkEnd w:id="21"/>
      <w:bookmarkEnd w:id="22"/>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宋体" w:hAnsi="宋体" w:eastAsia="宋体" w:cs="宋体"/>
          <w:color w:val="auto"/>
          <w:sz w:val="24"/>
          <w:szCs w:val="24"/>
          <w:highlight w:val="none"/>
          <w:lang w:val="en-US" w:eastAsia="zh-CN"/>
        </w:rPr>
        <w:t>根据企业提供的资料和人员访谈了解到，</w:t>
      </w:r>
      <w:r>
        <w:rPr>
          <w:rFonts w:hint="default" w:ascii="Times New Roman" w:hAnsi="Times New Roman" w:eastAsia="宋体" w:cs="Times New Roman"/>
          <w:color w:val="auto"/>
          <w:sz w:val="24"/>
          <w:szCs w:val="24"/>
          <w:highlight w:val="none"/>
          <w:lang w:val="en-US" w:eastAsia="zh-CN"/>
        </w:rPr>
        <w:t>南通常佑药业科技有限公司于2020年3月进</w:t>
      </w:r>
      <w:r>
        <w:rPr>
          <w:rFonts w:hint="eastAsia" w:ascii="宋体" w:hAnsi="宋体" w:eastAsia="宋体" w:cs="宋体"/>
          <w:color w:val="auto"/>
          <w:sz w:val="24"/>
          <w:szCs w:val="24"/>
          <w:highlight w:val="none"/>
          <w:lang w:val="en-US" w:eastAsia="zh-CN"/>
        </w:rPr>
        <w:t>行地下水环境质量现状监测，检测内容及检测结果</w:t>
      </w:r>
      <w:r>
        <w:rPr>
          <w:rFonts w:hint="default" w:ascii="Times New Roman" w:hAnsi="Times New Roman" w:eastAsia="宋体" w:cs="Times New Roman"/>
          <w:color w:val="auto"/>
          <w:sz w:val="24"/>
          <w:szCs w:val="24"/>
          <w:highlight w:val="none"/>
          <w:lang w:val="en-US" w:eastAsia="zh-CN"/>
        </w:rPr>
        <w:t>见图2.3-1</w:t>
      </w:r>
      <w:r>
        <w:rPr>
          <w:rFonts w:hint="eastAsia" w:ascii="宋体" w:hAnsi="宋体" w:eastAsia="宋体" w:cs="宋体"/>
          <w:color w:val="auto"/>
          <w:sz w:val="24"/>
          <w:szCs w:val="24"/>
          <w:highlight w:val="none"/>
          <w:lang w:val="en-US" w:eastAsia="zh-CN"/>
        </w:rPr>
        <w:t>；根</w:t>
      </w:r>
      <w:r>
        <w:rPr>
          <w:rFonts w:hint="default" w:ascii="Times New Roman" w:hAnsi="Times New Roman" w:eastAsia="宋体" w:cs="Times New Roman"/>
          <w:color w:val="auto"/>
          <w:sz w:val="24"/>
          <w:szCs w:val="24"/>
          <w:highlight w:val="none"/>
          <w:lang w:val="en-US" w:eastAsia="zh-CN"/>
        </w:rPr>
        <w:t>据</w:t>
      </w:r>
      <w:r>
        <w:rPr>
          <w:rFonts w:hint="eastAsia" w:ascii="Times New Roman" w:hAnsi="Times New Roman" w:eastAsia="宋体" w:cs="Times New Roman"/>
          <w:color w:val="auto"/>
          <w:sz w:val="24"/>
          <w:szCs w:val="24"/>
          <w:highlight w:val="none"/>
          <w:lang w:val="en-US" w:eastAsia="zh-CN"/>
        </w:rPr>
        <w:t>企业提供的《</w:t>
      </w:r>
      <w:r>
        <w:rPr>
          <w:rFonts w:hint="default" w:ascii="Times New Roman" w:hAnsi="Times New Roman" w:eastAsia="宋体" w:cs="Times New Roman"/>
          <w:color w:val="auto"/>
          <w:sz w:val="24"/>
          <w:szCs w:val="24"/>
          <w:highlight w:val="none"/>
          <w:lang w:val="en-US" w:eastAsia="zh-CN"/>
        </w:rPr>
        <w:t>南通常佑药业科技有限公司</w:t>
      </w:r>
      <w:r>
        <w:rPr>
          <w:rFonts w:hint="eastAsia" w:ascii="Times New Roman" w:hAnsi="Times New Roman" w:eastAsia="宋体" w:cs="Times New Roman"/>
          <w:color w:val="auto"/>
          <w:sz w:val="24"/>
          <w:szCs w:val="24"/>
          <w:highlight w:val="none"/>
          <w:lang w:val="en-US" w:eastAsia="zh-CN"/>
        </w:rPr>
        <w:t>土壤及地下水自行监测报告》（江苏裕和检测技术有限公司，2021年07月）</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监测结果如下：</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场地土壤：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送检27个土壤样品，（1）重金属：场地内和对照点砷、镉、铜、铅、汞、镍检出，检出值满足《土壤环境质量 建设用地土壤污染风险管控标准（试行）（GB 36600-2018）表1中第二类用地的筛选值；六价铬未检出，检出限均小于筛选值，说明检测指标符合评价标准。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（2）挥发性有机物、半挥发性有机物：场地内和对照点二氯甲烷、总石油烃检出，二氯甲烷、总石油烃满足《土壤环境质量 建设用地土壤污染风险管控标准（试行）（GB 36600-2018）表1中第二类用地的筛选值；点位1B01（污水处理站北侧）苯在1.5-3.0m处检出，检出浓度满足《土壤环境质量 建设用地土壤污染风险管控标准（试行）（GB 36600-2018）表1中第二类用地的筛选值；点位1C01（危废仓库西侧）氯仿在0.5-1.5m处检出，检出浓度满足《土壤环境质量 建设用地土壤污染风险管控标准（试行）（GB 36600-2018）表1中第二类用地的筛选值；点位1D01（丙类仓库2北侧）1,2-二氯苯在1.5-3.0m处检出，检出浓度满足《土壤环境质量 建设用地土壤污染风险管控标准（试行）（GB 36600-2018）表1中第二类用地的筛选值；点位DZTR（厂区东南侧）苯并[a]芘、茚并[1,2,3-cd]芘在1.5-3.0m处检出，检出浓度满足《土壤环境质量 建设用地土壤污染风险管控标准（试行）（GB 36600-2018）表1中第二类用地的筛选值；其余均未检出，检出限均小于筛选值，说明检测指标符合评价标准。</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（3）特征污染物：场地内和对照点二噁英检出，检出值满足《土壤环境质量 建设用地土壤污染风险管控标准（试行）（GB 36600-2018）表1中第二类用地的筛选值。</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场地内地下水： </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（1）感官性状及一般化学指标：检测结果均符合《地下水质量标准》（GB/T 14848-2017）IV类标准。</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（2）微生物指标：检测结果均符合《地下水质量标准》（GB/T 14848-2017）IV类标准。</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毒理学指标：总石油烃满足《上海市建设用地土壤污染状况调查、风险评估、风险管控与修复方案编制、风险管控与修复效果评估工作的补充规定（试行）》2020（62）号文件中二类用地筛选值。其余检测结果均符合《地下水质量标准》（GB/T 14848-2017）IV类标准。</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地块内总硬度、溶解性总固体和氟化物符合《地下水质量标准》（GB/T 14848-2017）IV类标准，但总体数值偏高，分析其原因主要是由于企业地块距离海边较近，该区域地下水水质受海水质量影响较大。</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Times New Roman" w:hAnsi="Times New Roman" w:eastAsia="宋体" w:cs="Times New Roman"/>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lang w:val="en-US" w:eastAsia="zh-CN"/>
        </w:rPr>
        <w:t>综上所述，监测结果表明目前场地土壤环境质量处于正常水平，暂时不存在污染迹象。</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5" w:hRule="atLeast"/>
          <w:jc w:val="center"/>
        </w:trPr>
        <w:tc>
          <w:tcPr>
            <w:tcW w:w="7260" w:type="dxa"/>
          </w:tcPr>
          <w:p>
            <w:pPr>
              <w:keepNext w:val="0"/>
              <w:keepLines w:val="0"/>
              <w:pageBreakBefore w:val="0"/>
              <w:widowControl w:val="0"/>
              <w:kinsoku/>
              <w:wordWrap/>
              <w:overflowPunct/>
              <w:topLinePunct w:val="0"/>
              <w:autoSpaceDE/>
              <w:autoSpaceDN/>
              <w:bidi w:val="0"/>
              <w:adjustRightInd/>
              <w:snapToGrid/>
              <w:spacing w:line="440" w:lineRule="atLeast"/>
              <w:jc w:val="center"/>
              <w:textAlignment w:val="auto"/>
              <w:rPr>
                <w:rFonts w:hint="eastAsia" w:ascii="Times New Roman" w:hAnsi="Times New Roman" w:eastAsia="宋体" w:cs="Times New Roman"/>
                <w:color w:val="auto"/>
                <w:sz w:val="24"/>
                <w:szCs w:val="24"/>
                <w:highlight w:val="none"/>
                <w:vertAlign w:val="baseline"/>
                <w:lang w:val="en-US" w:eastAsia="zh-CN"/>
              </w:rPr>
            </w:pPr>
            <w:r>
              <w:rPr>
                <w:rFonts w:hint="eastAsia"/>
                <w:sz w:val="28"/>
                <w:szCs w:val="28"/>
              </w:rPr>
              <w:drawing>
                <wp:inline distT="0" distB="0" distL="114300" distR="114300">
                  <wp:extent cx="4467225" cy="5667375"/>
                  <wp:effectExtent l="0" t="0" r="9525" b="9525"/>
                  <wp:docPr id="21" name="图片 4" descr="9d530b38b300b7a1dd3f68b00c2f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descr="9d530b38b300b7a1dd3f68b00c2fb3a"/>
                          <pic:cNvPicPr>
                            <a:picLocks noChangeAspect="1"/>
                          </pic:cNvPicPr>
                        </pic:nvPicPr>
                        <pic:blipFill>
                          <a:blip r:embed="rId12"/>
                          <a:stretch>
                            <a:fillRect/>
                          </a:stretch>
                        </pic:blipFill>
                        <pic:spPr>
                          <a:xfrm>
                            <a:off x="0" y="0"/>
                            <a:ext cx="4467225" cy="56673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3" w:hRule="atLeast"/>
          <w:jc w:val="center"/>
        </w:trPr>
        <w:tc>
          <w:tcPr>
            <w:tcW w:w="7260" w:type="dxa"/>
          </w:tcPr>
          <w:p>
            <w:pPr>
              <w:keepNext w:val="0"/>
              <w:keepLines w:val="0"/>
              <w:pageBreakBefore w:val="0"/>
              <w:widowControl w:val="0"/>
              <w:kinsoku/>
              <w:wordWrap/>
              <w:overflowPunct/>
              <w:topLinePunct w:val="0"/>
              <w:autoSpaceDE/>
              <w:autoSpaceDN/>
              <w:bidi w:val="0"/>
              <w:adjustRightInd/>
              <w:snapToGrid/>
              <w:spacing w:line="440" w:lineRule="atLeast"/>
              <w:textAlignment w:val="auto"/>
              <w:rPr>
                <w:rFonts w:hint="eastAsia" w:ascii="Times New Roman" w:hAnsi="Times New Roman" w:eastAsia="宋体" w:cs="Times New Roman"/>
                <w:color w:val="auto"/>
                <w:sz w:val="24"/>
                <w:szCs w:val="24"/>
                <w:highlight w:val="none"/>
                <w:vertAlign w:val="baseline"/>
                <w:lang w:val="en-US" w:eastAsia="zh-CN"/>
              </w:rPr>
            </w:pPr>
            <w:r>
              <w:rPr>
                <w:rFonts w:hint="eastAsia"/>
                <w:b/>
                <w:bCs/>
                <w:color w:val="000000"/>
                <w:sz w:val="28"/>
                <w:szCs w:val="28"/>
                <w:lang w:eastAsia="zh-CN"/>
              </w:rPr>
              <w:drawing>
                <wp:inline distT="0" distB="0" distL="114300" distR="114300">
                  <wp:extent cx="4648200" cy="5581650"/>
                  <wp:effectExtent l="0" t="0" r="0" b="0"/>
                  <wp:docPr id="22" name="图片 5" descr="5357f6fa9244e02a38e98c6bbfd4f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descr="5357f6fa9244e02a38e98c6bbfd4f8d"/>
                          <pic:cNvPicPr>
                            <a:picLocks noChangeAspect="1"/>
                          </pic:cNvPicPr>
                        </pic:nvPicPr>
                        <pic:blipFill>
                          <a:blip r:embed="rId13"/>
                          <a:stretch>
                            <a:fillRect/>
                          </a:stretch>
                        </pic:blipFill>
                        <pic:spPr>
                          <a:xfrm>
                            <a:off x="0" y="0"/>
                            <a:ext cx="4648200" cy="55816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7260" w:type="dxa"/>
          </w:tcPr>
          <w:p>
            <w:pPr>
              <w:keepNext w:val="0"/>
              <w:keepLines w:val="0"/>
              <w:pageBreakBefore w:val="0"/>
              <w:widowControl w:val="0"/>
              <w:kinsoku/>
              <w:wordWrap/>
              <w:overflowPunct/>
              <w:topLinePunct w:val="0"/>
              <w:autoSpaceDE/>
              <w:autoSpaceDN/>
              <w:bidi w:val="0"/>
              <w:adjustRightInd/>
              <w:snapToGrid/>
              <w:spacing w:line="440" w:lineRule="atLeast"/>
              <w:textAlignment w:val="auto"/>
              <w:rPr>
                <w:rFonts w:hint="eastAsia"/>
                <w:b/>
                <w:bCs/>
                <w:color w:val="000000"/>
                <w:sz w:val="28"/>
                <w:szCs w:val="28"/>
                <w:lang w:eastAsia="zh-CN"/>
              </w:rPr>
            </w:pPr>
            <w:r>
              <w:rPr>
                <w:rFonts w:hint="eastAsia"/>
                <w:b/>
                <w:bCs/>
                <w:color w:val="000000"/>
                <w:sz w:val="28"/>
                <w:szCs w:val="28"/>
                <w:lang w:val="en-US" w:eastAsia="zh-CN"/>
              </w:rPr>
              <w:drawing>
                <wp:inline distT="0" distB="0" distL="114300" distR="114300">
                  <wp:extent cx="4572000" cy="5572125"/>
                  <wp:effectExtent l="0" t="0" r="0" b="9525"/>
                  <wp:docPr id="23" name="图片 6" descr="3851cbdbdad99b84495035d4d8d3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3851cbdbdad99b84495035d4d8d37da"/>
                          <pic:cNvPicPr>
                            <a:picLocks noChangeAspect="1"/>
                          </pic:cNvPicPr>
                        </pic:nvPicPr>
                        <pic:blipFill>
                          <a:blip r:embed="rId14"/>
                          <a:stretch>
                            <a:fillRect/>
                          </a:stretch>
                        </pic:blipFill>
                        <pic:spPr>
                          <a:xfrm>
                            <a:off x="0" y="0"/>
                            <a:ext cx="4572000" cy="5572125"/>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440" w:lineRule="atLeast"/>
        <w:ind w:firstLine="482" w:firstLineChars="200"/>
        <w:jc w:val="center"/>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图2.3-1  2020年地下水检测结果</w:t>
      </w:r>
    </w:p>
    <w:p>
      <w:pPr>
        <w:pStyle w:val="2"/>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br w:type="page"/>
      </w:r>
    </w:p>
    <w:p>
      <w:pPr>
        <w:pStyle w:val="3"/>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23" w:name="_Toc14814"/>
      <w:bookmarkStart w:id="24" w:name="_Toc3329"/>
      <w:r>
        <w:rPr>
          <w:rFonts w:hint="eastAsia"/>
          <w:lang w:val="en-US" w:eastAsia="zh-CN"/>
        </w:rPr>
        <w:t>3</w:t>
      </w:r>
      <w:bookmarkEnd w:id="23"/>
      <w:r>
        <w:rPr>
          <w:rFonts w:hint="eastAsia"/>
          <w:lang w:val="en-US" w:eastAsia="zh-CN"/>
        </w:rPr>
        <w:t>地勘资料</w:t>
      </w:r>
      <w:bookmarkEnd w:id="24"/>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25" w:name="_Toc2304"/>
      <w:bookmarkStart w:id="26" w:name="_Toc13441"/>
      <w:r>
        <w:rPr>
          <w:rFonts w:hint="eastAsia"/>
          <w:lang w:val="en-US" w:eastAsia="zh-CN"/>
        </w:rPr>
        <w:t>3.1</w:t>
      </w:r>
      <w:bookmarkEnd w:id="25"/>
      <w:r>
        <w:rPr>
          <w:rFonts w:hint="eastAsia"/>
          <w:lang w:val="en-US" w:eastAsia="zh-CN"/>
        </w:rPr>
        <w:t>地质信息</w:t>
      </w:r>
      <w:bookmarkEnd w:id="26"/>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如东县属典型的江海冲击平原，境内地势平坦，自西向东略有倾斜。地面高程（以废黄河为基面）一般在海拔3.5米至4.5米之间，中部沿如泰运河一线则在5米左右；本项目所在地地势平坦、河塘众多，地面高程一般在2.6～3.6米之间，大部分区域高程在3.0米以下。</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地质构造隶属中国地质构造分区的下扬子台褶带，地层主要为粉砂土层，为粉质粘土、粉土；深部以粉砂、细砂为主，地耐力一般为10-13吨/平方米。陆域地震频度低，强度弱，地震烈度一般在六度以下，全为浅源构造地震，震源深度多在10-20公里，基本发生在花岗岩质层中，属弱震区。如东地区的抗震设防烈度为7度，设计基本地震加速度为0.10g。</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sz w:val="24"/>
        </w:rPr>
      </w:pPr>
      <w:r>
        <w:rPr>
          <w:rFonts w:hint="default" w:ascii="Times New Roman" w:hAnsi="Times New Roman" w:eastAsia="宋体" w:cs="Times New Roman"/>
          <w:color w:val="auto"/>
          <w:sz w:val="24"/>
          <w:szCs w:val="24"/>
          <w:lang w:val="en-US" w:eastAsia="zh-CN"/>
        </w:rPr>
        <w:t>南通常佑药业科技有限公司位于江苏省如东沿海经济开发区高科技产业园内，20</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lang w:val="en-US" w:eastAsia="zh-CN"/>
        </w:rPr>
        <w:t>年</w:t>
      </w:r>
      <w:r>
        <w:rPr>
          <w:rFonts w:hint="eastAsia" w:ascii="Times New Roman" w:hAnsi="Times New Roman" w:eastAsia="宋体" w:cs="Times New Roman"/>
          <w:color w:val="auto"/>
          <w:sz w:val="24"/>
          <w:szCs w:val="24"/>
          <w:lang w:val="en-US" w:eastAsia="zh-CN"/>
        </w:rPr>
        <w:t>12</w:t>
      </w:r>
      <w:r>
        <w:rPr>
          <w:rFonts w:hint="default" w:ascii="Times New Roman" w:hAnsi="Times New Roman" w:eastAsia="宋体" w:cs="Times New Roman"/>
          <w:color w:val="auto"/>
          <w:sz w:val="24"/>
          <w:szCs w:val="24"/>
          <w:lang w:val="en-US" w:eastAsia="zh-CN"/>
        </w:rPr>
        <w:t>月委托南通</w:t>
      </w:r>
      <w:r>
        <w:rPr>
          <w:rFonts w:hint="eastAsia" w:ascii="Times New Roman" w:hAnsi="Times New Roman" w:eastAsia="宋体" w:cs="Times New Roman"/>
          <w:color w:val="auto"/>
          <w:sz w:val="24"/>
          <w:szCs w:val="24"/>
          <w:lang w:val="en-US" w:eastAsia="zh-CN"/>
        </w:rPr>
        <w:t>源诚建筑</w:t>
      </w:r>
      <w:r>
        <w:rPr>
          <w:rFonts w:hint="default" w:ascii="Times New Roman" w:hAnsi="Times New Roman" w:eastAsia="宋体" w:cs="Times New Roman"/>
          <w:color w:val="auto"/>
          <w:sz w:val="24"/>
          <w:szCs w:val="24"/>
          <w:lang w:val="en-US" w:eastAsia="zh-CN"/>
        </w:rPr>
        <w:t>设计有限公司进行了岩土工程勘察。岩土勘察报告（部分）见图3.1-1。</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0" w:hRule="atLeast"/>
        </w:trPr>
        <w:tc>
          <w:tcPr>
            <w:tcW w:w="8528" w:type="dxa"/>
          </w:tcPr>
          <w:p>
            <w:pPr>
              <w:spacing w:line="500" w:lineRule="exact"/>
              <w:rPr>
                <w:rFonts w:hint="eastAsia" w:ascii="宋体" w:hAnsi="宋体"/>
                <w:sz w:val="24"/>
                <w:vertAlign w:val="baseline"/>
              </w:rPr>
            </w:pPr>
            <w:r>
              <w:rPr>
                <w:rFonts w:hint="eastAsia" w:ascii="Times New Roman" w:hAnsi="Times New Roman"/>
                <w:b/>
                <w:sz w:val="28"/>
                <w:szCs w:val="28"/>
              </w:rPr>
              <w:drawing>
                <wp:anchor distT="0" distB="0" distL="114300" distR="114300" simplePos="0" relativeHeight="251665408" behindDoc="0" locked="0" layoutInCell="1" allowOverlap="1">
                  <wp:simplePos x="0" y="0"/>
                  <wp:positionH relativeFrom="column">
                    <wp:posOffset>606425</wp:posOffset>
                  </wp:positionH>
                  <wp:positionV relativeFrom="paragraph">
                    <wp:posOffset>-607695</wp:posOffset>
                  </wp:positionV>
                  <wp:extent cx="4044950" cy="5393690"/>
                  <wp:effectExtent l="0" t="0" r="16510" b="12700"/>
                  <wp:wrapSquare wrapText="bothSides"/>
                  <wp:docPr id="24" name="图片 7" descr="fa61653035dffca0f55eec21361e5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descr="fa61653035dffca0f55eec21361e5cf"/>
                          <pic:cNvPicPr>
                            <a:picLocks noChangeAspect="1"/>
                          </pic:cNvPicPr>
                        </pic:nvPicPr>
                        <pic:blipFill>
                          <a:blip r:embed="rId15"/>
                          <a:stretch>
                            <a:fillRect/>
                          </a:stretch>
                        </pic:blipFill>
                        <pic:spPr>
                          <a:xfrm rot="16200000">
                            <a:off x="0" y="0"/>
                            <a:ext cx="4044950" cy="539369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pPr>
              <w:spacing w:line="500" w:lineRule="exact"/>
              <w:rPr>
                <w:rFonts w:hint="eastAsia" w:ascii="宋体" w:hAnsi="宋体"/>
                <w:sz w:val="24"/>
                <w:vertAlign w:val="baseline"/>
              </w:rPr>
            </w:pPr>
            <w:r>
              <w:rPr>
                <w:rFonts w:hint="eastAsia" w:ascii="Times New Roman" w:hAnsi="Times New Roman" w:cs="Times New Roman"/>
                <w:b/>
                <w:sz w:val="28"/>
                <w:szCs w:val="28"/>
              </w:rPr>
              <w:drawing>
                <wp:anchor distT="0" distB="0" distL="114300" distR="114300" simplePos="0" relativeHeight="251666432" behindDoc="0" locked="0" layoutInCell="1" allowOverlap="1">
                  <wp:simplePos x="0" y="0"/>
                  <wp:positionH relativeFrom="column">
                    <wp:posOffset>695325</wp:posOffset>
                  </wp:positionH>
                  <wp:positionV relativeFrom="paragraph">
                    <wp:posOffset>-664210</wp:posOffset>
                  </wp:positionV>
                  <wp:extent cx="4061460" cy="5415280"/>
                  <wp:effectExtent l="0" t="0" r="13970" b="15240"/>
                  <wp:wrapSquare wrapText="bothSides"/>
                  <wp:docPr id="25" name="图片 8" descr="f65b577fde76e1daad5cd89cd8ca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descr="f65b577fde76e1daad5cd89cd8ca66e"/>
                          <pic:cNvPicPr>
                            <a:picLocks noChangeAspect="1"/>
                          </pic:cNvPicPr>
                        </pic:nvPicPr>
                        <pic:blipFill>
                          <a:blip r:embed="rId16"/>
                          <a:stretch>
                            <a:fillRect/>
                          </a:stretch>
                        </pic:blipFill>
                        <pic:spPr>
                          <a:xfrm rot="16200000">
                            <a:off x="0" y="0"/>
                            <a:ext cx="4061460" cy="5415280"/>
                          </a:xfrm>
                          <a:prstGeom prst="rect">
                            <a:avLst/>
                          </a:prstGeom>
                          <a:noFill/>
                          <a:ln>
                            <a:noFill/>
                          </a:ln>
                        </pic:spPr>
                      </pic:pic>
                    </a:graphicData>
                  </a:graphic>
                </wp:anchor>
              </w:drawing>
            </w:r>
          </w:p>
        </w:tc>
      </w:tr>
    </w:tbl>
    <w:p>
      <w:pPr>
        <w:spacing w:line="500" w:lineRule="exact"/>
        <w:ind w:firstLine="532" w:firstLineChars="221"/>
        <w:jc w:val="center"/>
        <w:rPr>
          <w:rFonts w:hint="eastAsia"/>
          <w:lang w:val="en-US" w:eastAsia="zh-CN"/>
        </w:rPr>
      </w:pPr>
      <w:r>
        <w:rPr>
          <w:rFonts w:hint="eastAsia" w:ascii="Times New Roman" w:hAnsi="Times New Roman" w:eastAsia="宋体" w:cs="Times New Roman"/>
          <w:b/>
          <w:bCs/>
          <w:sz w:val="24"/>
          <w:szCs w:val="24"/>
        </w:rPr>
        <w:t>图</w:t>
      </w:r>
      <w:r>
        <w:rPr>
          <w:rFonts w:hint="eastAsia" w:ascii="Times New Roman" w:hAnsi="Times New Roman" w:eastAsia="宋体" w:cs="Times New Roman"/>
          <w:b/>
          <w:bCs/>
          <w:sz w:val="24"/>
          <w:szCs w:val="24"/>
          <w:lang w:val="en-US" w:eastAsia="zh-CN"/>
        </w:rPr>
        <w:t>3.1-1</w:t>
      </w:r>
      <w:r>
        <w:rPr>
          <w:rFonts w:ascii="Times New Roman" w:hAnsi="Times New Roman" w:eastAsia="宋体" w:cs="Times New Roman"/>
          <w:b/>
          <w:bCs/>
          <w:sz w:val="24"/>
          <w:szCs w:val="24"/>
        </w:rPr>
        <w:t xml:space="preserve"> 《</w:t>
      </w:r>
      <w:r>
        <w:rPr>
          <w:rFonts w:hint="eastAsia" w:ascii="Times New Roman" w:hAnsi="Times New Roman" w:eastAsia="宋体" w:cs="Times New Roman"/>
          <w:b/>
          <w:bCs/>
          <w:sz w:val="24"/>
          <w:szCs w:val="24"/>
        </w:rPr>
        <w:t>南通常佑药业科技有限公司</w:t>
      </w:r>
      <w:r>
        <w:rPr>
          <w:rFonts w:ascii="Times New Roman" w:hAnsi="Times New Roman" w:eastAsia="宋体" w:cs="Times New Roman"/>
          <w:b/>
          <w:bCs/>
          <w:sz w:val="24"/>
          <w:szCs w:val="24"/>
        </w:rPr>
        <w:t>岩土</w:t>
      </w:r>
      <w:r>
        <w:rPr>
          <w:rFonts w:hint="eastAsia" w:ascii="Times New Roman" w:hAnsi="Times New Roman" w:eastAsia="宋体" w:cs="Times New Roman"/>
          <w:b/>
          <w:bCs/>
          <w:sz w:val="24"/>
          <w:szCs w:val="24"/>
        </w:rPr>
        <w:t>工程</w:t>
      </w:r>
      <w:r>
        <w:rPr>
          <w:rFonts w:ascii="Times New Roman" w:hAnsi="Times New Roman" w:eastAsia="宋体" w:cs="Times New Roman"/>
          <w:b/>
          <w:bCs/>
          <w:sz w:val="24"/>
          <w:szCs w:val="24"/>
        </w:rPr>
        <w:t>勘察报告》</w:t>
      </w:r>
      <w:bookmarkStart w:id="27" w:name="_Toc30795"/>
    </w:p>
    <w:p>
      <w:pPr>
        <w:pStyle w:val="4"/>
        <w:pageBreakBefore w:val="0"/>
        <w:widowControl w:val="0"/>
        <w:kinsoku/>
        <w:wordWrap/>
        <w:overflowPunct/>
        <w:topLinePunct w:val="0"/>
        <w:autoSpaceDE/>
        <w:autoSpaceDN/>
        <w:bidi w:val="0"/>
        <w:adjustRightInd/>
        <w:snapToGrid/>
        <w:spacing w:before="220" w:after="220" w:line="440" w:lineRule="exact"/>
        <w:textAlignment w:val="auto"/>
        <w:outlineLvl w:val="0"/>
        <w:rPr>
          <w:rFonts w:hint="default"/>
          <w:lang w:val="en-US" w:eastAsia="zh-CN"/>
        </w:rPr>
      </w:pPr>
      <w:bookmarkStart w:id="28" w:name="_Toc25124"/>
      <w:r>
        <w:rPr>
          <w:rFonts w:hint="eastAsia"/>
          <w:lang w:val="en-US" w:eastAsia="zh-CN"/>
        </w:rPr>
        <w:t>3.2</w:t>
      </w:r>
      <w:bookmarkEnd w:id="27"/>
      <w:r>
        <w:rPr>
          <w:rFonts w:hint="eastAsia"/>
          <w:lang w:val="en-US" w:eastAsia="zh-CN"/>
        </w:rPr>
        <w:t>水文地质信息</w:t>
      </w:r>
      <w:bookmarkEnd w:id="28"/>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bookmarkStart w:id="29" w:name="_Toc31588"/>
      <w:r>
        <w:rPr>
          <w:rFonts w:hint="default" w:ascii="Times New Roman" w:hAnsi="Times New Roman" w:eastAsia="宋体" w:cs="Times New Roman"/>
          <w:color w:val="auto"/>
          <w:sz w:val="24"/>
          <w:szCs w:val="24"/>
          <w:highlight w:val="none"/>
          <w:lang w:val="en-US" w:eastAsia="zh-CN"/>
        </w:rPr>
        <w:t>（1）地表水</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如东县境内河流按区域划分，属于长江和淮河两大水系（以如泰运河为界）。水资源主要来自降水和引长江水，一般水平年引水量为5.20亿m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，每年县内降水产生的地表径流量5.54亿m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，地下水径流量4.40亿m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，一部分排入黄海，可利用量约为11.7亿m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根据计算，全县水资源总量为14.72亿m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，人均1300m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建国后，全县共开挖和疏浚河道1491条，引蓄长江水灌溉，打通泄洪通道，形成了新的河网水系和水利工程体系。其中有如泰运河、遥望港河、九圩港河、栟茶运河、北凌河5条一级骨干河道，30条二级河道，1975条三、四级河道。</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如东滨江临海，境内河道纵横配套，全年无涝无旱。长江潮位历史最高为5.537米（1997年），黄海潮位历年最高为5.3米(1997年)。该县已开发利用的地下淡水主要是两个含水层：上层（第Ⅲ承压层）埋深一般250～280米，氯离子含量小于250毫克/升，矿化度1.2～2.0克/升，单井出水量1500吨/日左右；下层（第Ⅳ承压层）埋深分别为340～450米左右，氯离子含量小于400毫克/升，矿化度1.0克/升左右，单井出水量1200～1500吨/日。</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（2）地下水</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如东县地下水主要赋存于第四纪松散沉积砂层之中，其总厚度大于300米，由南向北逐渐增大，东西方向在刘埠以西陡增，在掘港镇附近，松散层厚度约550米，刘埠以西750-1000余米。砂层一般累计厚度可达300余米。由于第四纪期间遭受四次海侵，海水进退致使地下水水质咸化，造成本区地下水化学条件复杂。区内地下水类型主要为松散岩类孔隙水，具有分布广、层次多、水量丰富，水质复杂等特征。潜水含水层在全区广泛分布，含水层由全新世长江三角州滨岸浅海相亚砂土和粉细砂组成。埋藏于45米以内，岩性粒度一般具有上细下粗特点，近地表的上段含水层以粉质亚粘土和亚砂土为主，具有自由水面和“三水”交替循环特征。中下段为粉砂、粉细砂，一般厚可达20～30米，最厚可达40米。该含水层组自西向东，自北向南逐渐增厚。</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潜水含水层组的水位埋深随季节性变化，一般在1-2米之间，局部低洼处小于1米。富水性一般较好，单井涌水量可达100～300m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潜水含水层组由于受全新世海侵影响，全区地下水被咸化，虽然后期受长江和大气降水入渗稀释，但潜水中仍含有较高的海水盐份，其含盐量在平面上具有分带性，矿化度大体上自西向东逐渐增大。从0.37克/升至22.45克/升不等，大部分地区为矿化度大于3克/升的微咸水—咸水，水化学类型一般以Cl-Na型为主。因水质差，除极少数民井外，目前区内无规模开采。潜水含水层（组）底板为粘性土隔水层，底板埋深一般25～60米。</w:t>
      </w:r>
    </w:p>
    <w:bookmarkEnd w:id="29"/>
    <w:p>
      <w:pPr>
        <w:rPr>
          <w:rFonts w:hint="eastAsia"/>
          <w:lang w:val="en-US" w:eastAsia="zh-CN"/>
        </w:rPr>
      </w:pPr>
      <w:bookmarkStart w:id="30" w:name="_Toc1741"/>
      <w:r>
        <w:rPr>
          <w:rFonts w:hint="eastAsia"/>
          <w:lang w:val="en-US" w:eastAsia="zh-CN"/>
        </w:rPr>
        <w:br w:type="page"/>
      </w:r>
    </w:p>
    <w:p>
      <w:pPr>
        <w:pStyle w:val="3"/>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31" w:name="_Toc12093"/>
      <w:r>
        <w:rPr>
          <w:rFonts w:hint="eastAsia"/>
          <w:lang w:val="en-US" w:eastAsia="zh-CN"/>
        </w:rPr>
        <w:t>4企业生产及污染防治情况</w:t>
      </w:r>
      <w:bookmarkEnd w:id="30"/>
      <w:bookmarkEnd w:id="31"/>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32" w:name="_Toc3188"/>
      <w:bookmarkStart w:id="33" w:name="_Toc30371"/>
      <w:r>
        <w:rPr>
          <w:rFonts w:hint="eastAsia"/>
          <w:lang w:val="en-US" w:eastAsia="zh-CN"/>
        </w:rPr>
        <w:t>4.1企业生产概况</w:t>
      </w:r>
      <w:bookmarkEnd w:id="32"/>
      <w:bookmarkEnd w:id="33"/>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本项目产品方案见</w:t>
      </w:r>
      <w:r>
        <w:rPr>
          <w:rFonts w:hint="default" w:ascii="Times New Roman" w:hAnsi="Times New Roman" w:eastAsia="宋体" w:cs="Times New Roman"/>
          <w:color w:val="auto"/>
          <w:sz w:val="24"/>
          <w:szCs w:val="24"/>
          <w:highlight w:val="none"/>
          <w:lang w:val="en-US" w:eastAsia="zh-CN"/>
        </w:rPr>
        <w:t>表4.1-1</w:t>
      </w:r>
      <w:r>
        <w:rPr>
          <w:rFonts w:hint="eastAsia" w:ascii="宋体" w:hAnsi="宋体" w:eastAsia="宋体" w:cs="宋体"/>
          <w:color w:val="auto"/>
          <w:sz w:val="24"/>
          <w:szCs w:val="24"/>
          <w:highlight w:val="none"/>
          <w:lang w:val="en-US" w:eastAsia="zh-CN"/>
        </w:rPr>
        <w:t>。</w:t>
      </w:r>
    </w:p>
    <w:p>
      <w:pPr>
        <w:spacing w:line="480" w:lineRule="exact"/>
        <w:jc w:val="center"/>
        <w:rPr>
          <w:rFonts w:hint="eastAsia" w:eastAsiaTheme="minorEastAsia"/>
          <w:b/>
          <w:color w:val="auto"/>
          <w:sz w:val="24"/>
          <w:szCs w:val="24"/>
          <w:lang w:eastAsia="zh-CN"/>
        </w:rPr>
      </w:pPr>
      <w:r>
        <w:rPr>
          <w:rFonts w:hint="default" w:ascii="Times New Roman" w:hAnsi="Times New Roman" w:cs="Times New Roman"/>
          <w:b/>
          <w:color w:val="auto"/>
          <w:sz w:val="24"/>
          <w:szCs w:val="24"/>
        </w:rPr>
        <w:t>表</w:t>
      </w:r>
      <w:r>
        <w:rPr>
          <w:rFonts w:hint="default" w:ascii="Times New Roman" w:hAnsi="Times New Roman" w:cs="Times New Roman"/>
          <w:b/>
          <w:color w:val="auto"/>
          <w:sz w:val="24"/>
          <w:szCs w:val="24"/>
          <w:lang w:val="en-US" w:eastAsia="zh-CN"/>
        </w:rPr>
        <w:t>4</w:t>
      </w:r>
      <w:r>
        <w:rPr>
          <w:rFonts w:hint="default" w:ascii="Times New Roman" w:hAnsi="Times New Roman" w:cs="Times New Roman"/>
          <w:b/>
          <w:color w:val="auto"/>
          <w:sz w:val="24"/>
          <w:szCs w:val="24"/>
        </w:rPr>
        <w:t>.</w:t>
      </w:r>
      <w:r>
        <w:rPr>
          <w:rFonts w:hint="default" w:ascii="Times New Roman" w:hAnsi="Times New Roman" w:cs="Times New Roman"/>
          <w:b/>
          <w:color w:val="auto"/>
          <w:sz w:val="24"/>
          <w:szCs w:val="24"/>
          <w:lang w:val="en-US" w:eastAsia="zh-CN"/>
        </w:rPr>
        <w:t>1</w:t>
      </w:r>
      <w:r>
        <w:rPr>
          <w:rFonts w:hint="default" w:ascii="Times New Roman" w:hAnsi="Times New Roman" w:cs="Times New Roman"/>
          <w:b/>
          <w:color w:val="auto"/>
          <w:sz w:val="24"/>
          <w:szCs w:val="24"/>
        </w:rPr>
        <w:t xml:space="preserve">-1 </w:t>
      </w:r>
      <w:r>
        <w:rPr>
          <w:rFonts w:hint="eastAsia"/>
          <w:b/>
          <w:color w:val="auto"/>
          <w:sz w:val="24"/>
          <w:szCs w:val="24"/>
        </w:rPr>
        <w:t xml:space="preserve"> 本项目</w:t>
      </w:r>
      <w:r>
        <w:rPr>
          <w:rFonts w:hint="eastAsia"/>
          <w:b/>
          <w:color w:val="auto"/>
          <w:sz w:val="24"/>
          <w:szCs w:val="24"/>
          <w:lang w:val="en-US" w:eastAsia="zh-CN"/>
        </w:rPr>
        <w:t>产品方案</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2195"/>
        <w:gridCol w:w="1798"/>
        <w:gridCol w:w="2001"/>
        <w:gridCol w:w="15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bookmarkStart w:id="34" w:name="_Hlk522196172"/>
            <w:r>
              <w:rPr>
                <w:rFonts w:hint="default" w:ascii="Times New Roman" w:hAnsi="Times New Roman" w:eastAsia="宋体" w:cs="Times New Roman"/>
                <w:sz w:val="21"/>
                <w:szCs w:val="21"/>
              </w:rPr>
              <w:t>序号</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产品名称</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产量（t/a）</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最大储存量（t）</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储存方式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瑞舒伐他汀钙</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阿利吉仑</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索非布韦</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替卡格雷</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依泽替米贝</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普瑞巴林</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硫酸双肼屈嗪</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吉非替尼</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566"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1287"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来那度胺</w:t>
            </w:r>
          </w:p>
        </w:tc>
        <w:tc>
          <w:tcPr>
            <w:tcW w:w="1054"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0.8</w:t>
            </w:r>
          </w:p>
        </w:tc>
        <w:tc>
          <w:tcPr>
            <w:tcW w:w="1173"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w:t>
            </w:r>
          </w:p>
        </w:tc>
        <w:tc>
          <w:tcPr>
            <w:tcW w:w="920" w:type="pct"/>
            <w:noWrap w:val="0"/>
            <w:vAlign w:val="center"/>
          </w:tcPr>
          <w:p>
            <w:pPr>
              <w:pStyle w:val="35"/>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w:t>
            </w:r>
          </w:p>
        </w:tc>
      </w:tr>
      <w:bookmarkEnd w:id="34"/>
    </w:tbl>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项目主要原辅材料消耗情况见</w:t>
      </w:r>
      <w:r>
        <w:rPr>
          <w:rFonts w:hint="default" w:ascii="Times New Roman" w:hAnsi="Times New Roman" w:eastAsia="宋体" w:cs="Times New Roman"/>
          <w:color w:val="auto"/>
          <w:sz w:val="24"/>
          <w:szCs w:val="24"/>
          <w:highlight w:val="none"/>
          <w:lang w:val="en-US" w:eastAsia="zh-CN"/>
        </w:rPr>
        <w:t>表4.1-2</w:t>
      </w:r>
      <w:r>
        <w:rPr>
          <w:rFonts w:hint="eastAsia" w:ascii="宋体" w:hAnsi="宋体" w:eastAsia="宋体" w:cs="宋体"/>
          <w:color w:val="auto"/>
          <w:sz w:val="24"/>
          <w:szCs w:val="24"/>
          <w:highlight w:val="none"/>
          <w:lang w:val="en-US" w:eastAsia="zh-CN"/>
        </w:rPr>
        <w:t>。</w:t>
      </w:r>
    </w:p>
    <w:p>
      <w:pPr>
        <w:spacing w:line="480" w:lineRule="exact"/>
        <w:jc w:val="center"/>
        <w:rPr>
          <w:rFonts w:hint="eastAsia"/>
          <w:b/>
          <w:color w:val="auto"/>
          <w:sz w:val="28"/>
          <w:szCs w:val="28"/>
        </w:rPr>
      </w:pPr>
      <w:r>
        <w:rPr>
          <w:rFonts w:hint="default" w:ascii="Times New Roman" w:hAnsi="Times New Roman" w:cs="Times New Roman"/>
          <w:b/>
          <w:color w:val="auto"/>
          <w:sz w:val="24"/>
          <w:szCs w:val="24"/>
        </w:rPr>
        <w:t>表</w:t>
      </w:r>
      <w:r>
        <w:rPr>
          <w:rFonts w:hint="default" w:ascii="Times New Roman" w:hAnsi="Times New Roman" w:cs="Times New Roman"/>
          <w:b/>
          <w:color w:val="auto"/>
          <w:sz w:val="24"/>
          <w:szCs w:val="24"/>
          <w:lang w:val="en-US" w:eastAsia="zh-CN"/>
        </w:rPr>
        <w:t>4.1-2</w:t>
      </w:r>
      <w:r>
        <w:rPr>
          <w:rFonts w:hint="default" w:ascii="Times New Roman" w:hAnsi="Times New Roman" w:cs="Times New Roman"/>
          <w:b/>
          <w:color w:val="auto"/>
          <w:sz w:val="24"/>
          <w:szCs w:val="24"/>
        </w:rPr>
        <w:t xml:space="preserve"> </w:t>
      </w:r>
      <w:r>
        <w:rPr>
          <w:rFonts w:hint="default" w:ascii="Times New Roman" w:hAnsi="Times New Roman" w:cs="Times New Roman"/>
          <w:b/>
          <w:color w:val="auto"/>
          <w:sz w:val="24"/>
          <w:szCs w:val="24"/>
          <w:lang w:val="en-US" w:eastAsia="zh-CN"/>
        </w:rPr>
        <w:t xml:space="preserve"> </w:t>
      </w:r>
      <w:r>
        <w:rPr>
          <w:rFonts w:hint="eastAsia"/>
          <w:b/>
          <w:color w:val="auto"/>
          <w:sz w:val="24"/>
          <w:szCs w:val="24"/>
        </w:rPr>
        <w:t>项目</w:t>
      </w:r>
      <w:r>
        <w:rPr>
          <w:b/>
          <w:color w:val="auto"/>
          <w:sz w:val="24"/>
          <w:szCs w:val="24"/>
        </w:rPr>
        <w:t>主要原辅材料</w:t>
      </w:r>
      <w:r>
        <w:rPr>
          <w:rFonts w:hint="eastAsia"/>
          <w:b/>
          <w:color w:val="auto"/>
          <w:sz w:val="24"/>
          <w:szCs w:val="24"/>
        </w:rPr>
        <w:t>及能源</w:t>
      </w:r>
      <w:r>
        <w:rPr>
          <w:b/>
          <w:color w:val="auto"/>
          <w:sz w:val="24"/>
          <w:szCs w:val="24"/>
        </w:rPr>
        <w:t>消耗</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68"/>
        <w:gridCol w:w="727"/>
        <w:gridCol w:w="1554"/>
        <w:gridCol w:w="1310"/>
        <w:gridCol w:w="1165"/>
        <w:gridCol w:w="1021"/>
        <w:gridCol w:w="168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产品</w:t>
            </w: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序号</w:t>
            </w:r>
          </w:p>
        </w:tc>
        <w:tc>
          <w:tcPr>
            <w:tcW w:w="911"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名称</w:t>
            </w:r>
          </w:p>
        </w:tc>
        <w:tc>
          <w:tcPr>
            <w:tcW w:w="768"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规格（%）</w:t>
            </w:r>
          </w:p>
        </w:tc>
        <w:tc>
          <w:tcPr>
            <w:tcW w:w="683"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年耗量(t/a)</w:t>
            </w:r>
          </w:p>
        </w:tc>
        <w:tc>
          <w:tcPr>
            <w:tcW w:w="598"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最大储存量(t/a)</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储存方式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瑞舒伐他汀钙</w:t>
            </w: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RS-8-1</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38.6</w:t>
            </w:r>
          </w:p>
        </w:tc>
        <w:tc>
          <w:tcPr>
            <w:tcW w:w="598"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986"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TP-11</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56.8</w:t>
            </w:r>
          </w:p>
        </w:tc>
        <w:tc>
          <w:tcPr>
            <w:tcW w:w="598"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986"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乙醇（含回用）</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95%</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1402.2</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环己烷</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861</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lang w:val="en-US" w:eastAsia="zh-CN"/>
              </w:rPr>
              <w:t>稀硫酸</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lang w:val="en-US" w:eastAsia="zh-CN"/>
              </w:rPr>
              <w:t>1</w:t>
            </w:r>
            <w:r>
              <w:rPr>
                <w:rFonts w:hint="default" w:ascii="Times New Roman" w:hAnsi="Times New Roman" w:eastAsia="宋体" w:cs="Times New Roman"/>
                <w:color w:val="0000FF"/>
                <w:kern w:val="0"/>
                <w:sz w:val="21"/>
                <w:szCs w:val="21"/>
              </w:rPr>
              <w:t>0%</w:t>
            </w:r>
          </w:p>
        </w:tc>
        <w:tc>
          <w:tcPr>
            <w:tcW w:w="683" w:type="pct"/>
            <w:noWrap w:val="0"/>
            <w:vAlign w:val="center"/>
          </w:tcPr>
          <w:p>
            <w:pPr>
              <w:pStyle w:val="38"/>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kern w:val="0"/>
                <w:sz w:val="21"/>
                <w:szCs w:val="21"/>
              </w:rPr>
              <w:t>127.46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2</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5%碳酸氢钠溶液</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3084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15</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6"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固体碳酸氢钠</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219.54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15</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无水硫酸钠</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74.8</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乙酸乙酯（含回用）</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99%</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3069.6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16</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甲基叔丁基醚</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82</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13</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11</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四氢呋喃（新鲜）</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69.6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10</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50%二乙基甲氧基硼烷</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50%</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24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2</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硼氢化钠</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4.2</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14</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冰乙酸</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98.5%</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27.4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10</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15</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甲醇（新鲜）</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95%</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23</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16</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双氧水</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30%</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13.6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10</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17</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亚硫酸氢钠</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1220</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2</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18</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氢氧化钠</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40%</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122</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15</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2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19</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乙醚</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99.5%</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1920</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7</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活性炭</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21</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盐酸</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30%</w:t>
            </w:r>
          </w:p>
        </w:tc>
        <w:tc>
          <w:tcPr>
            <w:tcW w:w="683" w:type="pct"/>
            <w:noWrap w:val="0"/>
            <w:vAlign w:val="center"/>
          </w:tcPr>
          <w:p>
            <w:pPr>
              <w:pStyle w:val="38"/>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kern w:val="0"/>
                <w:sz w:val="21"/>
                <w:szCs w:val="21"/>
              </w:rPr>
              <w:t>162</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10</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22</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异丙醚</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216.4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5</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23</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乙酸钙</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36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5</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24</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丙酮</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98%</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357.2</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25</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溴代异戊烷</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44.6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2</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26</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碳酸钾</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4.2</w:t>
            </w:r>
          </w:p>
        </w:tc>
        <w:tc>
          <w:tcPr>
            <w:tcW w:w="598" w:type="pct"/>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6</w:t>
            </w:r>
          </w:p>
        </w:tc>
        <w:tc>
          <w:tcPr>
            <w:tcW w:w="986" w:type="pct"/>
            <w:noWrap w:val="0"/>
            <w:vAlign w:val="center"/>
          </w:tcPr>
          <w:p>
            <w:pPr>
              <w:pStyle w:val="35"/>
              <w:ind w:firstLine="48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阿利吉仑</w:t>
            </w:r>
          </w:p>
        </w:tc>
        <w:tc>
          <w:tcPr>
            <w:tcW w:w="426"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乙醇</w:t>
            </w:r>
            <w:r>
              <w:rPr>
                <w:rFonts w:hint="default" w:ascii="Times New Roman" w:hAnsi="Times New Roman" w:eastAsia="宋体" w:cs="Times New Roman"/>
                <w:color w:val="0000FF"/>
                <w:kern w:val="0"/>
                <w:sz w:val="21"/>
                <w:szCs w:val="21"/>
                <w:lang w:eastAsia="zh-CN"/>
              </w:rPr>
              <w:t>（</w:t>
            </w:r>
            <w:r>
              <w:rPr>
                <w:rFonts w:hint="default" w:ascii="Times New Roman" w:hAnsi="Times New Roman" w:eastAsia="宋体" w:cs="Times New Roman"/>
                <w:color w:val="0000FF"/>
                <w:kern w:val="0"/>
                <w:sz w:val="21"/>
                <w:szCs w:val="21"/>
                <w:lang w:val="en-US" w:eastAsia="zh-CN"/>
              </w:rPr>
              <w:t>含回用）</w:t>
            </w:r>
            <w:r>
              <w:rPr>
                <w:rFonts w:hint="default" w:ascii="Times New Roman" w:hAnsi="Times New Roman" w:eastAsia="宋体" w:cs="Times New Roman"/>
                <w:color w:val="0000FF"/>
                <w:kern w:val="0"/>
                <w:sz w:val="21"/>
                <w:szCs w:val="21"/>
                <w:lang w:eastAsia="zh-CN"/>
              </w:rPr>
              <w:t>）</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95%</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1191</w:t>
            </w:r>
          </w:p>
        </w:tc>
        <w:tc>
          <w:tcPr>
            <w:tcW w:w="598"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14</w:t>
            </w:r>
          </w:p>
        </w:tc>
        <w:tc>
          <w:tcPr>
            <w:tcW w:w="986" w:type="pct"/>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2</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AL-15</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18.8</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HBTU</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14.4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4</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ALM4</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4.8</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32"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三乙胺</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98%</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23</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5</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noWrap w:val="0"/>
            <w:vAlign w:val="center"/>
          </w:tcPr>
          <w:p>
            <w:pPr>
              <w:pStyle w:val="38"/>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甲基叔丁基醚</w:t>
            </w:r>
          </w:p>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（含回用）</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1777</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13</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无水硫酸钠</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甲醇（新鲜）</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95%</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16.10</w:t>
            </w:r>
          </w:p>
        </w:tc>
        <w:tc>
          <w:tcPr>
            <w:tcW w:w="598"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14</w:t>
            </w:r>
          </w:p>
        </w:tc>
        <w:tc>
          <w:tcPr>
            <w:tcW w:w="986" w:type="pct"/>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对甲苯磺酸</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14.4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0.02</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碳酸氢钠溶液</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540</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15</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11</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二氯甲烷（新鲜）</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43.56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10</w:t>
            </w:r>
          </w:p>
        </w:tc>
        <w:tc>
          <w:tcPr>
            <w:tcW w:w="986"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盐酸</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36.5%</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28.2</w:t>
            </w:r>
          </w:p>
        </w:tc>
        <w:tc>
          <w:tcPr>
            <w:tcW w:w="598"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二氧六环</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206</w:t>
            </w:r>
          </w:p>
        </w:tc>
        <w:tc>
          <w:tcPr>
            <w:tcW w:w="598"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14</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乙醚</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99.5%</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570.6</w:t>
            </w:r>
          </w:p>
        </w:tc>
        <w:tc>
          <w:tcPr>
            <w:tcW w:w="598"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7</w:t>
            </w:r>
          </w:p>
        </w:tc>
        <w:tc>
          <w:tcPr>
            <w:tcW w:w="986" w:type="pct"/>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15</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富马酸</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18.8</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54"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16</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碳酸钠</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工业级</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0"/>
                <w:sz w:val="21"/>
                <w:szCs w:val="21"/>
              </w:rPr>
              <w:t>64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索非布韦</w:t>
            </w:r>
          </w:p>
        </w:tc>
        <w:tc>
          <w:tcPr>
            <w:tcW w:w="42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红铝（30%甲苯）</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70%</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63.74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8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氮气</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99.9%</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12.17</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45</w:t>
            </w:r>
          </w:p>
        </w:tc>
        <w:tc>
          <w:tcPr>
            <w:tcW w:w="986" w:type="pct"/>
            <w:noWrap w:val="0"/>
            <w:vAlign w:val="center"/>
          </w:tcPr>
          <w:p>
            <w:pPr>
              <w:adjustRightInd w:val="0"/>
              <w:snapToGrid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三氟乙醇</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16.33</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w:t>
            </w:r>
          </w:p>
        </w:tc>
        <w:tc>
          <w:tcPr>
            <w:tcW w:w="98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二氯甲烷</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25.02</w:t>
            </w:r>
          </w:p>
        </w:tc>
        <w:tc>
          <w:tcPr>
            <w:tcW w:w="598"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SFB-8</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51.54</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8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四丁基溴化铵</w:t>
            </w:r>
          </w:p>
        </w:tc>
        <w:tc>
          <w:tcPr>
            <w:tcW w:w="768"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0.46</w:t>
            </w:r>
          </w:p>
        </w:tc>
        <w:tc>
          <w:tcPr>
            <w:tcW w:w="598" w:type="pct"/>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0.2</w:t>
            </w:r>
          </w:p>
        </w:tc>
        <w:tc>
          <w:tcPr>
            <w:tcW w:w="986" w:type="pct"/>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磺酰氯</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60.99</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2</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6"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柠檬酸</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7.99</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氢氧化钾</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3.87</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无水硫酸钠</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42.95</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11</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活性炭</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13.75</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硅藻土</w:t>
            </w:r>
          </w:p>
        </w:tc>
        <w:tc>
          <w:tcPr>
            <w:tcW w:w="768"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2.29</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2</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醋酸异丙酯</w:t>
            </w:r>
          </w:p>
        </w:tc>
        <w:tc>
          <w:tcPr>
            <w:tcW w:w="768"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3.81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14</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正庚烷</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9.90</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15</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氯苯</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65.50</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18</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罐装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16</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六甲基二硅胺烷</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24.89</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17</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硫酸铵</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0.37</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0.2</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18</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SFB-1</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45.53</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2</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四氯化锡</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20.27</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乙酸</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32.62</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21</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碳酸氢钠</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2.38</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22</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异丙醇</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46.40</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23</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氨</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99.6%</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2.31</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0.8</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24</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甲醇</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102.24</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25</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乙酸乙酯</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3.54</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16</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26</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四氢呋喃</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138.19</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27</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叔丁基氯化镁四氢呋喃</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23%</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40.56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28</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SFBM</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19.24</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2</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盐酸</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30%</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25.91</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30</w:t>
            </w:r>
          </w:p>
        </w:tc>
        <w:tc>
          <w:tcPr>
            <w:tcW w:w="911"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甲基叔丁基醚</w:t>
            </w:r>
          </w:p>
        </w:tc>
        <w:tc>
          <w:tcPr>
            <w:tcW w:w="768"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47.18</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氯化钠</w:t>
            </w:r>
          </w:p>
        </w:tc>
        <w:tc>
          <w:tcPr>
            <w:tcW w:w="768"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pStyle w:val="38"/>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2.98</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6</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tcBorders>
              <w:top w:val="single" w:color="auto" w:sz="6" w:space="0"/>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替卡格雷</w:t>
            </w: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氮气</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1.07</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45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甲醇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29.22</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TGA-3</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28.55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2</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氢气</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0.15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0.2</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钯碳</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0.74</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1</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无水乙醇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99.5%</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8.51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L-酒石酸</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99.5%</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14.28</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TGB-1</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13.47</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1</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三乙胺</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10.70</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乙二醇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99.5%</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0.21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乙酸乙酯</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107.82</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16</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盐酸</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36%</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8.94</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无水硫酸钠</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10.0</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14</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活性炭</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7.14</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15</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正己烷</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3.31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16</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醋酸</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10.25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17</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亚硝酸钠</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17.97</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1</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18</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碳酸钾</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37%</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17.43</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6</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19</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乙腈</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2.21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TGC扁桃酸盐</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20.66</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1</w:t>
            </w:r>
            <w:r>
              <w:rPr>
                <w:rFonts w:hint="default" w:ascii="Times New Roman" w:hAnsi="Times New Roman" w:eastAsia="宋体" w:cs="Times New Roman"/>
                <w:color w:val="0000FF"/>
                <w:sz w:val="21"/>
                <w:szCs w:val="21"/>
                <w:lang w:val="en-US" w:eastAsia="zh-CN"/>
              </w:rPr>
              <w:t>0</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氢氧化钠</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98%</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3.0</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tcBorders>
              <w:top w:val="single" w:color="auto" w:sz="6" w:space="0"/>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依泽替米贝</w:t>
            </w: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四氢呋喃</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51.03</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ZTB-4</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9.83</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一水合氢氧化锂溶液</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3.24%</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48</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2</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乙酸乙酯</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22.26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16</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纯水</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32.5</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HCl溶液</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30%</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18</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氮气</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0.15</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45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DMF</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0.2</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草酰氯</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二氯甲烷</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8.53</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6" w:space="0"/>
              <w:right w:val="single" w:color="auto" w:sz="4"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11</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镁</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碘</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0.15</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对氟溴苯</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8.78</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1</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14</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氯化锌</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15</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四-三苯基磷钯</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2.5</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16</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硅胶</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30</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17</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环己烷</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7.36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18</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正己烷</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21.36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三氟乙酸酐</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8.5</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2</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CBS-5甲苯溶液</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9.2</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硼烷二甲硫醚的四氢呋喃溶液</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1</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钢瓶</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甲醇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8.29</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16</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无水硫酸钠</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3</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24</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冰醋酸</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0.31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25</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氢氧化钯炭</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0.5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26</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氢气</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0.04</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0.2</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27</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氯苯</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28</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异丙醇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异丙醇溶液</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40%</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普瑞巴林</w:t>
            </w: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氢氧化钠</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98%</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59.8</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1</w:t>
            </w:r>
            <w:r>
              <w:rPr>
                <w:rFonts w:hint="default" w:ascii="Times New Roman" w:hAnsi="Times New Roman" w:eastAsia="宋体" w:cs="Times New Roman"/>
                <w:color w:val="0000FF"/>
                <w:sz w:val="21"/>
                <w:szCs w:val="21"/>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CI-6</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98%</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76.70</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溴</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98%</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61.76</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盐酸</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36%</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73.93</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10</w:t>
            </w:r>
          </w:p>
        </w:tc>
        <w:tc>
          <w:tcPr>
            <w:tcW w:w="986" w:type="pct"/>
            <w:tcBorders>
              <w:top w:val="single" w:color="auto" w:sz="6" w:space="0"/>
              <w:left w:val="single" w:color="auto" w:sz="6" w:space="0"/>
              <w:bottom w:val="single" w:color="auto" w:sz="4" w:space="0"/>
              <w:right w:val="single" w:color="auto" w:sz="4" w:space="0"/>
            </w:tcBorders>
            <w:noWrap w:val="0"/>
            <w:vAlign w:val="center"/>
          </w:tcPr>
          <w:p>
            <w:pPr>
              <w:pStyle w:val="35"/>
              <w:ind w:firstLine="480" w:firstLineChars="0"/>
              <w:jc w:val="left"/>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乙醇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95%</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13.84</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异丙醇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52.7</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乙酸乙酯</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21.36</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16</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L-扁桃酸</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49.74</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四氢呋喃</w:t>
            </w:r>
          </w:p>
        </w:tc>
        <w:tc>
          <w:tcPr>
            <w:tcW w:w="768"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21.77</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13</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硫酸双肼屈嗪</w:t>
            </w: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乙醇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95%</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24.06</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水合肼</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80%</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24.8</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1,4-二氯酞嗪</w:t>
            </w:r>
          </w:p>
        </w:tc>
        <w:tc>
          <w:tcPr>
            <w:tcW w:w="768"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27.16</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浓硫酸</w:t>
            </w:r>
          </w:p>
        </w:tc>
        <w:tc>
          <w:tcPr>
            <w:tcW w:w="768"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98%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12.93</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活性炭</w:t>
            </w:r>
          </w:p>
        </w:tc>
        <w:tc>
          <w:tcPr>
            <w:tcW w:w="768" w:type="pct"/>
            <w:tcBorders>
              <w:top w:val="single" w:color="auto" w:sz="6" w:space="0"/>
              <w:left w:val="single" w:color="auto" w:sz="6" w:space="0"/>
              <w:bottom w:val="single" w:color="auto" w:sz="6" w:space="0"/>
              <w:right w:val="single" w:color="auto" w:sz="6" w:space="0"/>
            </w:tcBorders>
            <w:noWrap w:val="0"/>
            <w:vAlign w:val="center"/>
          </w:tcPr>
          <w:p>
            <w:pPr>
              <w:widowControl/>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1.56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吉非替尼</w:t>
            </w: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JF-0</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3.03</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3-氯-4-氟苯胺</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2.06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1</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氨水</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28%</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2.16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46"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碳酸钾</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0.61</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6</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N-(3-氯丙基)吗啉</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2.0</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1</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活性炭</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0.30</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SOCl</w:t>
            </w:r>
            <w:r>
              <w:rPr>
                <w:rFonts w:hint="default" w:ascii="Times New Roman" w:hAnsi="Times New Roman" w:eastAsia="宋体" w:cs="Times New Roman"/>
                <w:color w:val="0000FF"/>
                <w:sz w:val="21"/>
                <w:szCs w:val="21"/>
                <w:vertAlign w:val="subscript"/>
              </w:rPr>
              <w:t>2</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1.992</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DMF</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1.66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异丙醇</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3.47</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911"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甲醇</w:t>
            </w:r>
          </w:p>
        </w:tc>
        <w:tc>
          <w:tcPr>
            <w:tcW w:w="768"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6"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4.496</w:t>
            </w:r>
          </w:p>
        </w:tc>
        <w:tc>
          <w:tcPr>
            <w:tcW w:w="598" w:type="pct"/>
            <w:tcBorders>
              <w:top w:val="single" w:color="auto" w:sz="6" w:space="0"/>
              <w:left w:val="single" w:color="auto" w:sz="6" w:space="0"/>
              <w:bottom w:val="single" w:color="auto" w:sz="6"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6"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乙酸乙酯</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sz w:val="21"/>
                <w:szCs w:val="21"/>
              </w:rPr>
              <w:t>4.79</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16</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restart"/>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来那度胺</w:t>
            </w: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LN-1</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2.705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N-溴代琥珀酰亚胺</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3.245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0.</w:t>
            </w:r>
            <w:r>
              <w:rPr>
                <w:rFonts w:hint="default" w:ascii="Times New Roman" w:hAnsi="Times New Roman" w:eastAsia="宋体" w:cs="Times New Roman"/>
                <w:color w:val="0000FF"/>
                <w:sz w:val="21"/>
                <w:szCs w:val="21"/>
                <w:lang w:val="en-US" w:eastAsia="zh-CN"/>
              </w:rPr>
              <w:t>6</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过氧化苯甲酰</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0.541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0.3</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4</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碳酸氢钠</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1.691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1</w:t>
            </w:r>
            <w:r>
              <w:rPr>
                <w:rFonts w:hint="default" w:ascii="Times New Roman" w:hAnsi="Times New Roman" w:eastAsia="宋体" w:cs="Times New Roman"/>
                <w:color w:val="0000FF"/>
                <w:sz w:val="21"/>
                <w:szCs w:val="21"/>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LN-3</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1.623</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6</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三乙胺</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2.028</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氢气</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0.201</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0.2</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8</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钯炭水溶液</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50%</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0.134</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0.05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现场配置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活性炭</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0.167</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z w:val="21"/>
                <w:szCs w:val="21"/>
                <w:lang w:val="en-US" w:eastAsia="zh-CN"/>
              </w:rPr>
              <w:t>3</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袋装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二氯甲烷</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1.362</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1</w:t>
            </w:r>
            <w:r>
              <w:rPr>
                <w:rFonts w:hint="default" w:ascii="Times New Roman" w:hAnsi="Times New Roman" w:eastAsia="宋体" w:cs="Times New Roman"/>
                <w:color w:val="0000FF"/>
                <w:sz w:val="21"/>
                <w:szCs w:val="21"/>
              </w:rPr>
              <w:t>0</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11</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正己烷</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1.959</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5</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桶装</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乙腈</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1.265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26" w:type="pct"/>
            <w:vMerge w:val="continue"/>
            <w:tcBorders>
              <w:left w:val="single" w:color="auto" w:sz="4"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rPr>
            </w:pPr>
          </w:p>
        </w:tc>
        <w:tc>
          <w:tcPr>
            <w:tcW w:w="426"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13</w:t>
            </w:r>
          </w:p>
        </w:tc>
        <w:tc>
          <w:tcPr>
            <w:tcW w:w="911"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甲醇</w:t>
            </w:r>
          </w:p>
        </w:tc>
        <w:tc>
          <w:tcPr>
            <w:tcW w:w="768"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99%</w:t>
            </w:r>
          </w:p>
        </w:tc>
        <w:tc>
          <w:tcPr>
            <w:tcW w:w="683" w:type="pct"/>
            <w:tcBorders>
              <w:top w:val="single" w:color="auto" w:sz="6" w:space="0"/>
              <w:left w:val="single" w:color="auto" w:sz="6" w:space="0"/>
              <w:bottom w:val="single" w:color="auto" w:sz="4" w:space="0"/>
              <w:right w:val="single" w:color="auto" w:sz="6"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3.725</w:t>
            </w:r>
          </w:p>
        </w:tc>
        <w:tc>
          <w:tcPr>
            <w:tcW w:w="598" w:type="pct"/>
            <w:tcBorders>
              <w:top w:val="single" w:color="auto" w:sz="6" w:space="0"/>
              <w:left w:val="single" w:color="auto" w:sz="6" w:space="0"/>
              <w:bottom w:val="single" w:color="auto" w:sz="4" w:space="0"/>
              <w:right w:val="single" w:color="auto" w:sz="6" w:space="0"/>
            </w:tcBorders>
            <w:noWrap w:val="0"/>
            <w:vAlign w:val="center"/>
          </w:tcPr>
          <w:p>
            <w:pPr>
              <w:pStyle w:val="35"/>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14</w:t>
            </w:r>
          </w:p>
        </w:tc>
        <w:tc>
          <w:tcPr>
            <w:tcW w:w="986" w:type="pct"/>
            <w:tcBorders>
              <w:top w:val="single" w:color="auto" w:sz="6" w:space="0"/>
              <w:left w:val="single" w:color="auto" w:sz="6"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储罐</w:t>
            </w:r>
          </w:p>
        </w:tc>
      </w:tr>
    </w:tbl>
    <w:p>
      <w:pPr>
        <w:spacing w:line="460" w:lineRule="exact"/>
        <w:ind w:firstLine="480" w:firstLineChars="200"/>
        <w:rPr>
          <w:rFonts w:hint="eastAsia" w:asciiTheme="minorEastAsia" w:hAnsiTheme="minorEastAsia" w:cstheme="minorEastAsia"/>
          <w:color w:val="auto"/>
          <w:sz w:val="24"/>
          <w:szCs w:val="24"/>
          <w:lang w:val="en-US" w:eastAsia="zh-CN"/>
        </w:rPr>
        <w:sectPr>
          <w:pgSz w:w="11906" w:h="16838"/>
          <w:pgMar w:top="1440" w:right="1797" w:bottom="1440" w:left="1797" w:header="851" w:footer="992" w:gutter="0"/>
          <w:paperSrc w:first="12511"/>
          <w:pgBorders>
            <w:top w:val="none" w:sz="0" w:space="0"/>
            <w:left w:val="none" w:sz="0" w:space="0"/>
            <w:bottom w:val="none" w:sz="0" w:space="0"/>
            <w:right w:val="none" w:sz="0" w:space="0"/>
          </w:pgBorders>
          <w:pgNumType w:fmt="decimal"/>
          <w:cols w:space="720" w:num="1"/>
          <w:docGrid w:linePitch="312" w:charSpace="0"/>
        </w:sectPr>
      </w:pPr>
    </w:p>
    <w:p>
      <w:pPr>
        <w:pStyle w:val="4"/>
        <w:pageBreakBefore w:val="0"/>
        <w:widowControl w:val="0"/>
        <w:kinsoku/>
        <w:wordWrap/>
        <w:overflowPunct/>
        <w:topLinePunct w:val="0"/>
        <w:autoSpaceDE/>
        <w:autoSpaceDN/>
        <w:bidi w:val="0"/>
        <w:adjustRightInd/>
        <w:snapToGrid/>
        <w:spacing w:before="220" w:after="220" w:line="440" w:lineRule="exact"/>
        <w:textAlignment w:val="auto"/>
        <w:outlineLvl w:val="0"/>
        <w:rPr>
          <w:rFonts w:hint="default"/>
          <w:lang w:val="en-US" w:eastAsia="zh-CN"/>
        </w:rPr>
      </w:pPr>
      <w:bookmarkStart w:id="35" w:name="_Toc9555"/>
      <w:bookmarkStart w:id="36" w:name="_Toc15107"/>
      <w:r>
        <w:rPr>
          <w:rFonts w:hint="eastAsia"/>
          <w:lang w:val="en-US" w:eastAsia="zh-CN"/>
        </w:rPr>
        <w:t>4.2企业总平面布置</w:t>
      </w:r>
      <w:bookmarkEnd w:id="35"/>
    </w:p>
    <w:p>
      <w:pPr>
        <w:keepNext w:val="0"/>
        <w:keepLines w:val="0"/>
        <w:pageBreakBefore w:val="0"/>
        <w:widowControl w:val="0"/>
        <w:kinsoku/>
        <w:wordWrap/>
        <w:overflowPunct/>
        <w:topLinePunct w:val="0"/>
        <w:autoSpaceDE/>
        <w:autoSpaceDN/>
        <w:bidi w:val="0"/>
        <w:adjustRightInd/>
        <w:snapToGrid/>
        <w:spacing w:line="440" w:lineRule="atLeas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企业厂区平面布置图见</w:t>
      </w:r>
      <w:r>
        <w:rPr>
          <w:rFonts w:hint="default" w:ascii="Times New Roman" w:hAnsi="Times New Roman" w:eastAsia="宋体" w:cs="Times New Roman"/>
          <w:color w:val="auto"/>
          <w:sz w:val="24"/>
          <w:szCs w:val="24"/>
          <w:highlight w:val="none"/>
          <w:lang w:val="en-US" w:eastAsia="zh-CN"/>
        </w:rPr>
        <w:t>图</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.2-1。</w:t>
      </w:r>
    </w:p>
    <w:p>
      <w:pPr>
        <w:pStyle w:val="11"/>
      </w:pPr>
      <w:r>
        <w:drawing>
          <wp:inline distT="0" distB="0" distL="114300" distR="114300">
            <wp:extent cx="5608320" cy="2872105"/>
            <wp:effectExtent l="0" t="0" r="11430" b="444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17"/>
                    <a:stretch>
                      <a:fillRect/>
                    </a:stretch>
                  </pic:blipFill>
                  <pic:spPr>
                    <a:xfrm>
                      <a:off x="0" y="0"/>
                      <a:ext cx="5608320" cy="2872105"/>
                    </a:xfrm>
                    <a:prstGeom prst="rect">
                      <a:avLst/>
                    </a:prstGeom>
                    <a:noFill/>
                    <a:ln>
                      <a:noFill/>
                    </a:ln>
                  </pic:spPr>
                </pic:pic>
              </a:graphicData>
            </a:graphic>
          </wp:inline>
        </w:drawing>
      </w:r>
    </w:p>
    <w:p>
      <w:pPr>
        <w:spacing w:line="460" w:lineRule="exact"/>
        <w:ind w:firstLine="451" w:firstLineChars="187"/>
        <w:jc w:val="center"/>
        <w:rPr>
          <w:rFonts w:hint="eastAsia"/>
          <w:lang w:val="en-US" w:eastAsia="zh-CN"/>
        </w:rPr>
      </w:pPr>
      <w:r>
        <w:rPr>
          <w:rFonts w:hint="default" w:ascii="Times New Roman" w:hAnsi="Times New Roman" w:cs="Times New Roman"/>
          <w:b/>
          <w:bCs/>
          <w:color w:val="auto"/>
          <w:sz w:val="24"/>
          <w:szCs w:val="24"/>
          <w:highlight w:val="none"/>
          <w:lang w:val="en-US" w:eastAsia="zh-CN"/>
        </w:rPr>
        <w:t>图</w:t>
      </w:r>
      <w:r>
        <w:rPr>
          <w:rFonts w:hint="eastAsia" w:ascii="Times New Roman" w:hAnsi="Times New Roman"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lang w:val="en-US" w:eastAsia="zh-CN"/>
        </w:rPr>
        <w:t>.2-1 厂区</w:t>
      </w:r>
      <w:r>
        <w:rPr>
          <w:rFonts w:hint="eastAsia" w:asciiTheme="minorEastAsia" w:hAnsiTheme="minorEastAsia" w:cstheme="minorEastAsia"/>
          <w:b/>
          <w:bCs/>
          <w:color w:val="auto"/>
          <w:sz w:val="24"/>
          <w:szCs w:val="24"/>
          <w:highlight w:val="none"/>
          <w:lang w:val="en-US" w:eastAsia="zh-CN"/>
        </w:rPr>
        <w:t>平面布置图</w:t>
      </w:r>
    </w:p>
    <w:bookmarkEnd w:id="36"/>
    <w:p>
      <w:pPr>
        <w:pStyle w:val="16"/>
        <w:rPr>
          <w:rFonts w:hint="default"/>
          <w:lang w:val="en-US" w:eastAsia="zh-CN"/>
        </w:rPr>
      </w:pPr>
    </w:p>
    <w:p>
      <w:pPr>
        <w:pStyle w:val="4"/>
        <w:keepNext w:val="0"/>
        <w:keepLines w:val="0"/>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sectPr>
          <w:pgSz w:w="11906" w:h="16838"/>
          <w:pgMar w:top="1440" w:right="1797" w:bottom="1440" w:left="1797" w:header="851" w:footer="992" w:gutter="0"/>
          <w:paperSrc w:first="12511"/>
          <w:pgBorders>
            <w:top w:val="none" w:sz="0" w:space="0"/>
            <w:left w:val="none" w:sz="0" w:space="0"/>
            <w:bottom w:val="none" w:sz="0" w:space="0"/>
            <w:right w:val="none" w:sz="0" w:space="0"/>
          </w:pgBorders>
          <w:pgNumType w:fmt="decimal"/>
          <w:cols w:space="720" w:num="1"/>
          <w:docGrid w:linePitch="312" w:charSpace="0"/>
        </w:sectPr>
      </w:pPr>
      <w:bookmarkStart w:id="37" w:name="_Toc2875"/>
    </w:p>
    <w:p>
      <w:pPr>
        <w:pStyle w:val="4"/>
        <w:keepNext w:val="0"/>
        <w:keepLines w:val="0"/>
        <w:pageBreakBefore w:val="0"/>
        <w:widowControl w:val="0"/>
        <w:kinsoku/>
        <w:wordWrap/>
        <w:overflowPunct/>
        <w:topLinePunct w:val="0"/>
        <w:autoSpaceDE/>
        <w:autoSpaceDN/>
        <w:bidi w:val="0"/>
        <w:adjustRightInd/>
        <w:snapToGrid/>
        <w:spacing w:before="220" w:after="220" w:line="440" w:lineRule="exact"/>
        <w:textAlignment w:val="auto"/>
        <w:outlineLvl w:val="0"/>
        <w:rPr>
          <w:rFonts w:hint="default"/>
          <w:highlight w:val="none"/>
          <w:lang w:val="en-US" w:eastAsia="zh-CN"/>
        </w:rPr>
      </w:pPr>
      <w:bookmarkStart w:id="38" w:name="_Toc6094"/>
      <w:r>
        <w:rPr>
          <w:rFonts w:hint="eastAsia"/>
          <w:lang w:val="en-US" w:eastAsia="zh-CN"/>
        </w:rPr>
        <w:t>4.3</w:t>
      </w:r>
      <w:bookmarkEnd w:id="37"/>
      <w:r>
        <w:rPr>
          <w:rFonts w:hint="eastAsia"/>
          <w:highlight w:val="none"/>
          <w:lang w:val="en-US" w:eastAsia="zh-CN"/>
        </w:rPr>
        <w:t>各重点场所、重点设施设备情况</w:t>
      </w:r>
      <w:bookmarkEnd w:id="38"/>
    </w:p>
    <w:p>
      <w:pPr>
        <w:spacing w:line="480" w:lineRule="exact"/>
        <w:jc w:val="center"/>
        <w:rPr>
          <w:rFonts w:hint="default"/>
          <w:b/>
          <w:color w:val="auto"/>
          <w:sz w:val="24"/>
          <w:szCs w:val="24"/>
          <w:highlight w:val="yellow"/>
          <w:lang w:val="en-US" w:eastAsia="zh-CN"/>
        </w:rPr>
      </w:pPr>
      <w:bookmarkStart w:id="39" w:name="_Toc15136"/>
      <w:r>
        <w:rPr>
          <w:rFonts w:hint="default" w:ascii="Times New Roman" w:hAnsi="Times New Roman" w:cs="Times New Roman"/>
          <w:b/>
          <w:color w:val="auto"/>
          <w:sz w:val="24"/>
          <w:szCs w:val="24"/>
        </w:rPr>
        <w:t>表</w:t>
      </w:r>
      <w:r>
        <w:rPr>
          <w:rFonts w:hint="default" w:ascii="Times New Roman" w:hAnsi="Times New Roman" w:cs="Times New Roman"/>
          <w:b/>
          <w:color w:val="auto"/>
          <w:sz w:val="24"/>
          <w:szCs w:val="24"/>
          <w:lang w:val="en-US" w:eastAsia="zh-CN"/>
        </w:rPr>
        <w:t>4</w:t>
      </w:r>
      <w:r>
        <w:rPr>
          <w:rFonts w:hint="default" w:ascii="Times New Roman" w:hAnsi="Times New Roman" w:cs="Times New Roman"/>
          <w:b/>
          <w:color w:val="auto"/>
          <w:sz w:val="24"/>
          <w:szCs w:val="24"/>
        </w:rPr>
        <w:t>.</w:t>
      </w:r>
      <w:r>
        <w:rPr>
          <w:rFonts w:hint="default" w:ascii="Times New Roman" w:hAnsi="Times New Roman" w:cs="Times New Roman"/>
          <w:b/>
          <w:color w:val="auto"/>
          <w:sz w:val="24"/>
          <w:szCs w:val="24"/>
          <w:lang w:val="en-US" w:eastAsia="zh-CN"/>
        </w:rPr>
        <w:t>3</w:t>
      </w:r>
      <w:r>
        <w:rPr>
          <w:rFonts w:hint="default" w:ascii="Times New Roman" w:hAnsi="Times New Roman" w:cs="Times New Roman"/>
          <w:b/>
          <w:color w:val="auto"/>
          <w:sz w:val="24"/>
          <w:szCs w:val="24"/>
        </w:rPr>
        <w:t>-</w:t>
      </w:r>
      <w:r>
        <w:rPr>
          <w:rFonts w:hint="default" w:ascii="Times New Roman" w:hAnsi="Times New Roman" w:cs="Times New Roman"/>
          <w:b/>
          <w:color w:val="auto"/>
          <w:sz w:val="24"/>
          <w:szCs w:val="24"/>
          <w:lang w:val="en-US" w:eastAsia="zh-CN"/>
        </w:rPr>
        <w:t>1</w:t>
      </w:r>
      <w:r>
        <w:rPr>
          <w:rFonts w:hint="default" w:ascii="Times New Roman" w:hAnsi="Times New Roman" w:cs="Times New Roman"/>
          <w:b/>
          <w:color w:val="auto"/>
          <w:sz w:val="24"/>
          <w:szCs w:val="24"/>
        </w:rPr>
        <w:t xml:space="preserve">  </w:t>
      </w:r>
      <w:r>
        <w:rPr>
          <w:rFonts w:hint="eastAsia"/>
          <w:b/>
          <w:color w:val="auto"/>
          <w:sz w:val="24"/>
          <w:szCs w:val="24"/>
          <w:highlight w:val="none"/>
          <w:lang w:val="en-US" w:eastAsia="zh-CN"/>
        </w:rPr>
        <w:t>企业各重点场所、重点设施设备</w:t>
      </w:r>
    </w:p>
    <w:bookmarkEnd w:id="39"/>
    <w:tbl>
      <w:tblPr>
        <w:tblStyle w:val="17"/>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50"/>
        <w:gridCol w:w="1770"/>
        <w:gridCol w:w="42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0"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重点区域</w:t>
            </w:r>
          </w:p>
        </w:tc>
        <w:tc>
          <w:tcPr>
            <w:tcW w:w="1062"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占地面积（m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w:t>
            </w:r>
          </w:p>
        </w:tc>
        <w:tc>
          <w:tcPr>
            <w:tcW w:w="2526" w:type="pct"/>
            <w:noWrap w:val="0"/>
            <w:vAlign w:val="center"/>
          </w:tcPr>
          <w:p>
            <w:pPr>
              <w:pStyle w:val="26"/>
              <w:spacing w:before="37" w:line="258" w:lineRule="exact"/>
              <w:ind w:left="1546" w:right="1516"/>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0"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生产车间</w:t>
            </w:r>
          </w:p>
        </w:tc>
        <w:tc>
          <w:tcPr>
            <w:tcW w:w="1062"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12321.9</w:t>
            </w:r>
          </w:p>
        </w:tc>
        <w:tc>
          <w:tcPr>
            <w:tcW w:w="2526"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有6个生产车间，701车间有瑞舒伐他汀钙生产线一条，702车间有阿利吉仑生产线一条，703车间有依泽替米贝生产线一条，普瑞巴林生产线一条，硫酸双肼屈嗪生产线一条，705车间有索菲布韦生产线一条，替卡格雷生产线一条，707车间有吉非替尼生产线一条，来那度胺生产线一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0"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污水处理站、RTO</w:t>
            </w:r>
          </w:p>
        </w:tc>
        <w:tc>
          <w:tcPr>
            <w:tcW w:w="1062"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7087.5</w:t>
            </w:r>
          </w:p>
        </w:tc>
        <w:tc>
          <w:tcPr>
            <w:tcW w:w="2526"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原辅料里涉及有机污染物，RTO炉中存在二噁英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0"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危废仓库、罐区</w:t>
            </w:r>
          </w:p>
        </w:tc>
        <w:tc>
          <w:tcPr>
            <w:tcW w:w="1062"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752.8</w:t>
            </w:r>
          </w:p>
        </w:tc>
        <w:tc>
          <w:tcPr>
            <w:tcW w:w="2526"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罐区有20m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乙醇储罐、20m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甲醇储罐、20m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四氢呋喃储罐、20m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乙酸乙酯储罐、20m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丙酮储罐、20m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环己烷储罐、20m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乙腈储罐、20m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甲苯储罐、20m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氯苯储罐各一只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10"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仓库（化学品仓库、成品仓库）</w:t>
            </w:r>
          </w:p>
        </w:tc>
        <w:tc>
          <w:tcPr>
            <w:tcW w:w="1062"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5028</w:t>
            </w:r>
          </w:p>
        </w:tc>
        <w:tc>
          <w:tcPr>
            <w:tcW w:w="2526" w:type="pct"/>
            <w:noWrap w:val="0"/>
            <w:vAlign w:val="center"/>
          </w:tcPr>
          <w:p>
            <w:pPr>
              <w:pStyle w:val="26"/>
              <w:spacing w:before="37" w:line="258" w:lineRule="exact"/>
              <w:ind w:left="217"/>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仓库分为化学品仓库和成品仓库</w:t>
            </w:r>
          </w:p>
        </w:tc>
      </w:tr>
    </w:tbl>
    <w:p>
      <w:pPr>
        <w:pStyle w:val="34"/>
        <w:keepNext w:val="0"/>
        <w:keepLines w:val="0"/>
        <w:pageBreakBefore w:val="0"/>
        <w:kinsoku/>
        <w:wordWrap/>
        <w:overflowPunct/>
        <w:topLinePunct w:val="0"/>
        <w:bidi w:val="0"/>
        <w:spacing w:line="360" w:lineRule="auto"/>
        <w:ind w:left="0" w:leftChars="0" w:firstLine="280" w:firstLineChars="100"/>
        <w:textAlignment w:val="auto"/>
        <w:rPr>
          <w:rFonts w:hint="default" w:ascii="Times New Roman" w:hAnsi="Times New Roman" w:eastAsia="宋体" w:cs="Times New Roman"/>
          <w:sz w:val="21"/>
          <w:szCs w:val="21"/>
          <w:highlight w:val="none"/>
        </w:rPr>
      </w:pPr>
      <w:r>
        <w:rPr>
          <w:rFonts w:hint="eastAsia" w:ascii="宋体" w:hAnsi="宋体" w:eastAsia="宋体" w:cs="宋体"/>
          <w:sz w:val="28"/>
          <w:szCs w:val="28"/>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根据企业提供的环评、验收等资料，结合人员访谈情况，得出企业各设施涉及的有毒有害物质清单见表4.3-2。</w:t>
      </w:r>
    </w:p>
    <w:p>
      <w:pPr>
        <w:keepNext w:val="0"/>
        <w:keepLines w:val="0"/>
        <w:pageBreakBefore w:val="0"/>
        <w:widowControl/>
        <w:kinsoku/>
        <w:wordWrap/>
        <w:overflowPunct/>
        <w:topLinePunct w:val="0"/>
        <w:bidi w:val="0"/>
        <w:spacing w:line="276" w:lineRule="auto"/>
        <w:contextualSpacing/>
        <w:jc w:val="center"/>
        <w:textAlignment w:val="auto"/>
        <w:rPr>
          <w:rFonts w:hint="default" w:ascii="Times New Roman" w:hAnsi="Times New Roman" w:eastAsia="宋体" w:cs="Times New Roman"/>
          <w:b/>
          <w:kern w:val="0"/>
          <w:sz w:val="21"/>
          <w:szCs w:val="21"/>
          <w:highlight w:val="none"/>
          <w:lang w:val="en-US" w:eastAsia="zh-CN"/>
        </w:rPr>
      </w:pPr>
      <w:r>
        <w:rPr>
          <w:rFonts w:hint="default" w:ascii="Times New Roman" w:hAnsi="Times New Roman" w:eastAsia="宋体" w:cs="Times New Roman"/>
          <w:b/>
          <w:kern w:val="0"/>
          <w:sz w:val="24"/>
          <w:szCs w:val="24"/>
          <w:highlight w:val="none"/>
        </w:rPr>
        <w:t>表4.</w:t>
      </w:r>
      <w:r>
        <w:rPr>
          <w:rFonts w:hint="default" w:ascii="Times New Roman" w:hAnsi="Times New Roman" w:eastAsia="宋体" w:cs="Times New Roman"/>
          <w:b/>
          <w:kern w:val="0"/>
          <w:sz w:val="24"/>
          <w:szCs w:val="24"/>
          <w:highlight w:val="none"/>
          <w:lang w:val="en-US" w:eastAsia="zh-CN"/>
        </w:rPr>
        <w:t>3-2</w:t>
      </w:r>
      <w:r>
        <w:rPr>
          <w:rFonts w:hint="default" w:ascii="Times New Roman" w:hAnsi="Times New Roman" w:eastAsia="宋体" w:cs="Times New Roman"/>
          <w:b/>
          <w:kern w:val="0"/>
          <w:sz w:val="24"/>
          <w:szCs w:val="24"/>
          <w:highlight w:val="none"/>
        </w:rPr>
        <w:t xml:space="preserve"> </w:t>
      </w:r>
      <w:r>
        <w:rPr>
          <w:rFonts w:hint="default" w:ascii="Times New Roman" w:hAnsi="Times New Roman" w:eastAsia="宋体" w:cs="Times New Roman"/>
          <w:b/>
          <w:kern w:val="0"/>
          <w:sz w:val="24"/>
          <w:szCs w:val="24"/>
          <w:highlight w:val="none"/>
          <w:lang w:val="en-US" w:eastAsia="zh-CN"/>
        </w:rPr>
        <w:t>有毒有害物质清单</w:t>
      </w:r>
    </w:p>
    <w:tbl>
      <w:tblPr>
        <w:tblStyle w:val="17"/>
        <w:tblW w:w="83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0"/>
        <w:gridCol w:w="1916"/>
        <w:gridCol w:w="4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50"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设施名称</w:t>
            </w:r>
          </w:p>
        </w:tc>
        <w:tc>
          <w:tcPr>
            <w:tcW w:w="1916"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物质类别</w:t>
            </w:r>
          </w:p>
        </w:tc>
        <w:tc>
          <w:tcPr>
            <w:tcW w:w="4455"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有毒有害物质名称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50"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生产车间</w:t>
            </w:r>
          </w:p>
        </w:tc>
        <w:tc>
          <w:tcPr>
            <w:tcW w:w="1916" w:type="dxa"/>
            <w:noWrap w:val="0"/>
            <w:vAlign w:val="center"/>
          </w:tcPr>
          <w:p>
            <w:pPr>
              <w:pStyle w:val="26"/>
              <w:keepNext w:val="0"/>
              <w:keepLines w:val="0"/>
              <w:pageBreakBefore w:val="0"/>
              <w:widowControl w:val="0"/>
              <w:kinsoku/>
              <w:wordWrap/>
              <w:overflowPunct/>
              <w:topLinePunct w:val="0"/>
              <w:bidi w:val="0"/>
              <w:snapToGrid/>
              <w:spacing w:line="253" w:lineRule="exact"/>
              <w:ind w:righ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废液、废渣</w:t>
            </w:r>
          </w:p>
        </w:tc>
        <w:tc>
          <w:tcPr>
            <w:tcW w:w="4455"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乙醇、环己烷、乙酸乙酯、四氢呋喃、冰醋酸、甲醇、三乙胺、二氯甲烷、正庚烷、正己烷、氢气、盐酸、亚硝酸钠、乙腈、DMF、氯苯、液氨、异丙醇、水合肼、浓硫酸、溴、磺酰氯、草酰氯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50"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污水处理站、RTO</w:t>
            </w:r>
          </w:p>
        </w:tc>
        <w:tc>
          <w:tcPr>
            <w:tcW w:w="1916" w:type="dxa"/>
            <w:noWrap w:val="0"/>
            <w:vAlign w:val="center"/>
          </w:tcPr>
          <w:p>
            <w:pPr>
              <w:pStyle w:val="26"/>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rPr>
              <w:t>废水、污泥、</w:t>
            </w:r>
            <w:r>
              <w:rPr>
                <w:rFonts w:hint="default" w:ascii="Times New Roman" w:hAnsi="Times New Roman" w:eastAsia="宋体" w:cs="Times New Roman"/>
                <w:sz w:val="21"/>
                <w:szCs w:val="21"/>
                <w:lang w:val="en-US"/>
              </w:rPr>
              <w:t>废渣</w:t>
            </w:r>
          </w:p>
        </w:tc>
        <w:tc>
          <w:tcPr>
            <w:tcW w:w="4455"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乙醇、环己烷、乙酸乙酯、四氢呋喃、冰醋酸、甲醇、三乙胺、二氯甲烷、正庚烷、正己烷、氢气、盐酸、亚硝酸钠、乙腈、DMF、氯苯、液氨、异丙醇、水合肼、浓硫酸、溴、磺酰氯、草酰氯、二噁英、石油烃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50"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危废仓库、罐区</w:t>
            </w:r>
          </w:p>
        </w:tc>
        <w:tc>
          <w:tcPr>
            <w:tcW w:w="1916"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废液、废渣</w:t>
            </w:r>
          </w:p>
        </w:tc>
        <w:tc>
          <w:tcPr>
            <w:tcW w:w="4455"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乙醇、环己烷、乙酸乙酯、四氢呋喃、冰醋酸、甲醇、三乙胺、二氯甲烷、正庚烷、正己烷、氢气、盐酸、亚硝酸钠、乙腈、DMF、氯苯、液氨、异丙醇、水合肼、浓硫酸、溴、磺酰氯、草酰氯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950"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化学品仓库、机修间</w:t>
            </w:r>
          </w:p>
        </w:tc>
        <w:tc>
          <w:tcPr>
            <w:tcW w:w="1916"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废液、废渣、废机油</w:t>
            </w:r>
          </w:p>
        </w:tc>
        <w:tc>
          <w:tcPr>
            <w:tcW w:w="4455" w:type="dxa"/>
            <w:noWrap w:val="0"/>
            <w:vAlign w:val="center"/>
          </w:tcPr>
          <w:p>
            <w:pPr>
              <w:pStyle w:val="20"/>
              <w:keepNext w:val="0"/>
              <w:keepLines w:val="0"/>
              <w:pageBreakBefore w:val="0"/>
              <w:widowControl w:val="0"/>
              <w:kinsoku/>
              <w:wordWrap/>
              <w:overflowPunct/>
              <w:topLinePunct w:val="0"/>
              <w:bidi w:val="0"/>
              <w:snapToGrid/>
              <w:ind w:right="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乙醇、环己烷、乙酸乙酯、四氢呋喃、冰醋酸、甲醇、三乙胺、二氯甲烷、正庚烷、正己烷、氢气、盐酸、亚硝酸钠、乙腈、DMF、氯苯、液氨、异丙醇、水合肼、浓硫酸、溴、磺酰氯、草酰氯、石油烃</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sectPr>
          <w:pgSz w:w="11906" w:h="16838"/>
          <w:pgMar w:top="1440" w:right="1797" w:bottom="1440" w:left="1797" w:header="851" w:footer="992" w:gutter="0"/>
          <w:paperSrc w:first="12511"/>
          <w:pgBorders>
            <w:top w:val="none" w:sz="0" w:space="0"/>
            <w:left w:val="none" w:sz="0" w:space="0"/>
            <w:bottom w:val="none" w:sz="0" w:space="0"/>
            <w:right w:val="none" w:sz="0" w:space="0"/>
          </w:pgBorders>
          <w:pgNumType w:fmt="decimal"/>
          <w:cols w:space="720" w:num="1"/>
          <w:docGrid w:linePitch="312" w:charSpace="0"/>
        </w:sectPr>
      </w:pPr>
    </w:p>
    <w:p>
      <w:pPr>
        <w:pStyle w:val="3"/>
        <w:pageBreakBefore w:val="0"/>
        <w:widowControl w:val="0"/>
        <w:kinsoku/>
        <w:wordWrap/>
        <w:overflowPunct/>
        <w:topLinePunct w:val="0"/>
        <w:autoSpaceDE/>
        <w:autoSpaceDN/>
        <w:bidi w:val="0"/>
        <w:adjustRightInd/>
        <w:snapToGrid/>
        <w:spacing w:before="220" w:after="220" w:line="440" w:lineRule="exact"/>
        <w:textAlignment w:val="auto"/>
        <w:rPr>
          <w:rFonts w:hint="default"/>
          <w:lang w:val="en-US" w:eastAsia="zh-CN"/>
        </w:rPr>
      </w:pPr>
      <w:bookmarkStart w:id="40" w:name="_Toc2410"/>
      <w:bookmarkStart w:id="41" w:name="_Toc23850"/>
      <w:r>
        <w:rPr>
          <w:rFonts w:hint="eastAsia"/>
          <w:lang w:val="en-US" w:eastAsia="zh-CN"/>
        </w:rPr>
        <w:t>5重点</w:t>
      </w:r>
      <w:bookmarkEnd w:id="40"/>
      <w:r>
        <w:rPr>
          <w:rFonts w:hint="eastAsia"/>
          <w:lang w:val="en-US" w:eastAsia="zh-CN"/>
        </w:rPr>
        <w:t>监测单元识别与分类</w:t>
      </w:r>
      <w:bookmarkEnd w:id="41"/>
    </w:p>
    <w:p>
      <w:pPr>
        <w:pStyle w:val="4"/>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42" w:name="_Toc17769"/>
      <w:bookmarkStart w:id="43" w:name="_Toc11611"/>
      <w:r>
        <w:rPr>
          <w:rFonts w:hint="eastAsia"/>
          <w:lang w:val="en-US" w:eastAsia="zh-CN"/>
        </w:rPr>
        <w:t>5.1重点</w:t>
      </w:r>
      <w:bookmarkEnd w:id="42"/>
      <w:r>
        <w:rPr>
          <w:rFonts w:hint="eastAsia"/>
          <w:lang w:val="en-US" w:eastAsia="zh-CN"/>
        </w:rPr>
        <w:t>单元情况</w:t>
      </w:r>
      <w:bookmarkEnd w:id="43"/>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bookmarkStart w:id="44" w:name="_Toc6772"/>
      <w:r>
        <w:rPr>
          <w:rFonts w:hint="default" w:ascii="Times New Roman" w:hAnsi="Times New Roman" w:eastAsia="宋体" w:cs="Times New Roman"/>
          <w:color w:val="auto"/>
          <w:sz w:val="24"/>
          <w:szCs w:val="24"/>
          <w:lang w:val="en-US" w:eastAsia="zh-CN"/>
        </w:rPr>
        <w:t>根据《工业企业土壤和地下水自行监测技术指南（试行）》（HJ 1209-2021）标准要求，结合《重点监管单位土壤污染隐患排查指南（试行）》等相关技术规范的要求排查企业内有潜在土壤污染隐患的重点场所及重点设施设备，将其中可能通过渗漏、流失、扬散等途径导致土壤或地下水污染的场所或设备设施识别为重点监测单元，开展土壤和地下水监测工作。</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lang w:val="en-US" w:eastAsia="zh-CN"/>
        </w:rPr>
      </w:pPr>
      <w:r>
        <w:rPr>
          <w:rFonts w:hint="eastAsia" w:ascii="宋体" w:hAnsi="宋体" w:eastAsia="宋体" w:cs="宋体"/>
          <w:color w:val="auto"/>
          <w:sz w:val="24"/>
          <w:szCs w:val="24"/>
          <w:lang w:val="en-US" w:eastAsia="zh-CN"/>
        </w:rPr>
        <w:t>本次土壤和地下水识别的重点污染区域包括：生产区、三废处理区、储罐区、仓储区。</w:t>
      </w:r>
    </w:p>
    <w:p>
      <w:pPr>
        <w:pStyle w:val="4"/>
        <w:keepNext/>
        <w:keepLines/>
        <w:pageBreakBefore w:val="0"/>
        <w:widowControl w:val="0"/>
        <w:kinsoku/>
        <w:wordWrap/>
        <w:overflowPunct/>
        <w:topLinePunct w:val="0"/>
        <w:autoSpaceDE/>
        <w:autoSpaceDN/>
        <w:bidi w:val="0"/>
        <w:adjustRightInd/>
        <w:snapToGrid/>
        <w:spacing w:before="0" w:after="0"/>
        <w:textAlignment w:val="auto"/>
        <w:rPr>
          <w:rFonts w:hint="eastAsia"/>
          <w:lang w:val="en-US" w:eastAsia="zh-CN"/>
        </w:rPr>
      </w:pPr>
      <w:bookmarkStart w:id="45" w:name="_Toc14310"/>
      <w:r>
        <w:rPr>
          <w:rFonts w:hint="eastAsia"/>
          <w:lang w:val="en-US" w:eastAsia="zh-CN"/>
        </w:rPr>
        <w:t>5.2识别/分类结果及原因</w:t>
      </w:r>
      <w:bookmarkEnd w:id="44"/>
      <w:bookmarkEnd w:id="45"/>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（1）识别原则</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重点设施及重点区域的识别，主要通过对资料收集、现场踏勘、以及人员访谈的调查结果进行分析、评价和总结，根据各区域及设施信息、污染物及其迁移途径等，识别企业内部存在土壤或地下水污染隐患的重点设施。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识别过程主要关注下列设施：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a）涉及有毒有害物质的生产设施；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b）涉及有毒有害物质的原辅材料、产品、固体废物等的堆存、储放、转运设施；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c）贮存或运输有毒有害物质的各类罐槽、管线；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d）三废（废气、废水、固体废物）处理处置或排放区；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e）其他涉及有毒有害物质的设施。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（2）识别过程</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基于资料收集、现场踏勘、以及人员访谈的调查结果，并综合考虑污染源分布、污染物类型、污染物迁移途径等因素，项目组对重点设施及区域进行了识别，并拍照记录。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本次土壤和地下水识别的重点污染区域包括：生产区、三废处理区、储罐区、仓储区。</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办公室、餐厅、配电间等非产污区域，不放入重点污染区域。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各区域现场踏勘图片见图5.2-1。</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8522" w:type="dxa"/>
          </w:tcPr>
          <w:p>
            <w:pPr>
              <w:pStyle w:val="11"/>
              <w:pBdr>
                <w:top w:val="none" w:color="auto" w:sz="0" w:space="0"/>
                <w:left w:val="none" w:color="auto" w:sz="0" w:space="0"/>
                <w:bottom w:val="none" w:color="auto" w:sz="0" w:space="0"/>
                <w:right w:val="none" w:color="auto" w:sz="0" w:space="0"/>
              </w:pBdr>
              <w:jc w:val="center"/>
              <w:rPr>
                <w:rFonts w:hint="default"/>
                <w:vertAlign w:val="baseline"/>
                <w:lang w:val="en-US" w:eastAsia="zh-CN"/>
              </w:rPr>
            </w:pPr>
            <w:r>
              <w:rPr>
                <w:rFonts w:hint="eastAsia"/>
              </w:rPr>
              <w:drawing>
                <wp:inline distT="0" distB="0" distL="114300" distR="114300">
                  <wp:extent cx="3199765" cy="2612390"/>
                  <wp:effectExtent l="0" t="0" r="635" b="16510"/>
                  <wp:docPr id="28" name="图片 11" descr="febf927abf0b5d339440cd81e6abc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descr="febf927abf0b5d339440cd81e6abc1c"/>
                          <pic:cNvPicPr>
                            <a:picLocks noChangeAspect="1"/>
                          </pic:cNvPicPr>
                        </pic:nvPicPr>
                        <pic:blipFill>
                          <a:blip r:embed="rId18"/>
                          <a:stretch>
                            <a:fillRect/>
                          </a:stretch>
                        </pic:blipFill>
                        <pic:spPr>
                          <a:xfrm>
                            <a:off x="0" y="0"/>
                            <a:ext cx="3199765" cy="26123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1"/>
              <w:pBdr>
                <w:top w:val="none" w:color="auto" w:sz="0" w:space="0"/>
                <w:left w:val="none" w:color="auto" w:sz="0" w:space="0"/>
                <w:bottom w:val="none" w:color="auto" w:sz="0" w:space="0"/>
                <w:right w:val="none" w:color="auto" w:sz="0" w:space="0"/>
              </w:pBdr>
              <w:jc w:val="left"/>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kern w:val="2"/>
                <w:sz w:val="21"/>
                <w:szCs w:val="21"/>
                <w:lang w:val="en-US" w:eastAsia="zh-CN" w:bidi="ar-SA"/>
              </w:rPr>
              <w:t>生产车间：</w:t>
            </w:r>
            <w:r>
              <w:rPr>
                <w:rFonts w:hint="default" w:ascii="Times New Roman" w:hAnsi="Times New Roman" w:cs="Times New Roman"/>
                <w:color w:val="auto"/>
                <w:kern w:val="2"/>
                <w:sz w:val="21"/>
                <w:szCs w:val="21"/>
                <w:lang w:val="en-US" w:eastAsia="zh-CN" w:bidi="ar-SA"/>
              </w:rPr>
              <w:t>现有6个生产车间，701车间有瑞舒伐他汀钙生产线一条，702车间有阿利吉仑生产线一条，703车间有依泽替米贝生产线一条，普瑞巴林生产线一条，硫酸双肼屈嗪生产线一条，705车间有索菲布韦生产线一条，替卡格雷生产线一条，707车间有吉非替尼生产线一条，来那度胺生产线一条。生产过程中使用到的原辅料对土壤和地下水造成污染。经现场踏勘显示，地面均已硬化，无明显裂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2" w:hRule="atLeast"/>
        </w:trPr>
        <w:tc>
          <w:tcPr>
            <w:tcW w:w="8522" w:type="dxa"/>
          </w:tcPr>
          <w:p>
            <w:pPr>
              <w:pStyle w:val="11"/>
              <w:pBdr>
                <w:top w:val="none" w:color="auto" w:sz="0" w:space="0"/>
                <w:left w:val="none" w:color="auto" w:sz="0" w:space="0"/>
                <w:bottom w:val="none" w:color="auto" w:sz="0" w:space="0"/>
                <w:right w:val="none" w:color="auto" w:sz="0" w:space="0"/>
              </w:pBdr>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imes New Roman" w:hAnsi="Times New Roman" w:cs="Times New Roman"/>
              </w:rPr>
              <w:drawing>
                <wp:inline distT="0" distB="0" distL="114300" distR="114300">
                  <wp:extent cx="2976245" cy="2640330"/>
                  <wp:effectExtent l="0" t="0" r="14605" b="7620"/>
                  <wp:docPr id="78" name="图片 13" descr="659c0692206d9ca022e51a0177154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descr="659c0692206d9ca022e51a0177154dd"/>
                          <pic:cNvPicPr>
                            <a:picLocks noChangeAspect="1"/>
                          </pic:cNvPicPr>
                        </pic:nvPicPr>
                        <pic:blipFill>
                          <a:blip r:embed="rId19"/>
                          <a:stretch>
                            <a:fillRect/>
                          </a:stretch>
                        </pic:blipFill>
                        <pic:spPr>
                          <a:xfrm>
                            <a:off x="0" y="0"/>
                            <a:ext cx="2976245" cy="26403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1"/>
              <w:pBdr>
                <w:top w:val="none" w:color="auto" w:sz="0" w:space="0"/>
                <w:left w:val="none" w:color="auto" w:sz="0" w:space="0"/>
                <w:bottom w:val="none" w:color="auto" w:sz="0" w:space="0"/>
                <w:right w:val="none" w:color="auto" w:sz="0" w:space="0"/>
              </w:pBdr>
              <w:jc w:val="left"/>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cstheme="minorEastAsia"/>
                <w:color w:val="auto"/>
                <w:kern w:val="2"/>
                <w:sz w:val="21"/>
                <w:szCs w:val="21"/>
                <w:lang w:val="en-US" w:eastAsia="zh-CN" w:bidi="ar-SA"/>
              </w:rPr>
              <w:t>三废处理区：污水处理站处理全场的废水，废水中的有机污染物对土壤和地下水造成污染。原辅料里涉及有机污染物，RTO炉中存在二噁英，经现场踏勘显示，地面均已硬化，无明显裂痕。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8522" w:type="dxa"/>
          </w:tcPr>
          <w:p>
            <w:pPr>
              <w:pStyle w:val="11"/>
              <w:pBdr>
                <w:top w:val="none" w:color="auto" w:sz="0" w:space="0"/>
                <w:left w:val="none" w:color="auto" w:sz="0" w:space="0"/>
                <w:bottom w:val="none" w:color="auto" w:sz="0" w:space="0"/>
                <w:right w:val="none" w:color="auto" w:sz="0" w:space="0"/>
              </w:pBdr>
              <w:jc w:val="center"/>
              <w:rPr>
                <w:rFonts w:hint="default"/>
                <w:vertAlign w:val="baseline"/>
                <w:lang w:val="en-US" w:eastAsia="zh-CN"/>
              </w:rPr>
            </w:pPr>
            <w:r>
              <w:rPr>
                <w:rFonts w:ascii="Times New Roman" w:hAnsi="Times New Roman"/>
                <w:sz w:val="28"/>
                <w:szCs w:val="28"/>
                <w:lang w:val="en-US"/>
              </w:rPr>
              <w:drawing>
                <wp:inline distT="0" distB="0" distL="114300" distR="114300">
                  <wp:extent cx="3022600" cy="2575560"/>
                  <wp:effectExtent l="0" t="0" r="6350" b="15240"/>
                  <wp:docPr id="79" name="图片 14" descr="f798e0a96b5c33139e4f4fd1c5898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descr="f798e0a96b5c33139e4f4fd1c5898b1"/>
                          <pic:cNvPicPr>
                            <a:picLocks noChangeAspect="1"/>
                          </pic:cNvPicPr>
                        </pic:nvPicPr>
                        <pic:blipFill>
                          <a:blip r:embed="rId20"/>
                          <a:stretch>
                            <a:fillRect/>
                          </a:stretch>
                        </pic:blipFill>
                        <pic:spPr>
                          <a:xfrm>
                            <a:off x="0" y="0"/>
                            <a:ext cx="3022600" cy="25755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11"/>
              <w:pBdr>
                <w:top w:val="none" w:color="auto" w:sz="0" w:space="0"/>
                <w:left w:val="none" w:color="auto" w:sz="0" w:space="0"/>
                <w:bottom w:val="none" w:color="auto" w:sz="0" w:space="0"/>
                <w:right w:val="none" w:color="auto" w:sz="0" w:space="0"/>
              </w:pBdr>
              <w:rPr>
                <w:rFonts w:hint="default"/>
                <w:vertAlign w:val="baseline"/>
                <w:lang w:val="en-US" w:eastAsia="zh-CN"/>
              </w:rPr>
            </w:pPr>
            <w:r>
              <w:rPr>
                <w:rFonts w:hint="eastAsia" w:asciiTheme="minorEastAsia" w:hAnsiTheme="minorEastAsia" w:cstheme="minorEastAsia"/>
                <w:color w:val="auto"/>
                <w:kern w:val="2"/>
                <w:sz w:val="21"/>
                <w:szCs w:val="21"/>
                <w:lang w:val="en-US" w:eastAsia="zh-CN" w:bidi="ar-SA"/>
              </w:rPr>
              <w:t>危废仓库：</w:t>
            </w:r>
            <w:r>
              <w:rPr>
                <w:rFonts w:hint="default" w:ascii="Times New Roman" w:hAnsi="Times New Roman" w:cs="Times New Roman"/>
                <w:color w:val="auto"/>
                <w:kern w:val="2"/>
                <w:sz w:val="21"/>
                <w:szCs w:val="21"/>
                <w:lang w:val="en-US" w:eastAsia="zh-CN" w:bidi="ar-SA"/>
              </w:rPr>
              <w:t>危废仓库存放各种有机污染物，罐区有20m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乙醇储罐、20m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甲醇储罐、20m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四氢呋喃储罐、20m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乙酸乙酯储罐、20m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丙酮储罐、20m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环己烷储罐、20m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乙腈储罐、20m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甲苯储罐、20m</w:t>
            </w:r>
            <w:r>
              <w:rPr>
                <w:rFonts w:hint="default" w:ascii="Times New Roman" w:hAnsi="Times New Roman" w:cs="Times New Roman"/>
                <w:color w:val="auto"/>
                <w:kern w:val="2"/>
                <w:sz w:val="21"/>
                <w:szCs w:val="21"/>
                <w:vertAlign w:val="superscript"/>
                <w:lang w:val="en-US" w:eastAsia="zh-CN" w:bidi="ar-SA"/>
              </w:rPr>
              <w:t>3</w:t>
            </w:r>
            <w:r>
              <w:rPr>
                <w:rFonts w:hint="default" w:ascii="Times New Roman" w:hAnsi="Times New Roman" w:cs="Times New Roman"/>
                <w:color w:val="auto"/>
                <w:kern w:val="2"/>
                <w:sz w:val="21"/>
                <w:szCs w:val="21"/>
                <w:lang w:val="en-US" w:eastAsia="zh-CN" w:bidi="ar-SA"/>
              </w:rPr>
              <w:t>氯苯储罐各一只，涉及到的污染物对土壤和地下水会造成污染。经现场踏勘显示，地面均已硬化，无明显裂痕。</w:t>
            </w:r>
          </w:p>
        </w:tc>
      </w:tr>
    </w:tbl>
    <w:p>
      <w:pPr>
        <w:pStyle w:val="11"/>
        <w:jc w:val="center"/>
        <w:rPr>
          <w:rFonts w:hint="default"/>
          <w:b/>
          <w:bCs/>
          <w:lang w:val="en-US" w:eastAsia="zh-CN"/>
        </w:rPr>
      </w:pPr>
      <w:r>
        <w:rPr>
          <w:rFonts w:hint="eastAsia" w:asciiTheme="minorEastAsia" w:hAnsiTheme="minorEastAsia" w:cstheme="minorEastAsia"/>
          <w:b/>
          <w:bCs/>
          <w:color w:val="auto"/>
          <w:sz w:val="24"/>
          <w:szCs w:val="24"/>
          <w:lang w:val="en-US" w:eastAsia="zh-CN"/>
        </w:rPr>
        <w:t>图</w:t>
      </w:r>
      <w:r>
        <w:rPr>
          <w:rFonts w:hint="default" w:ascii="Times New Roman" w:hAnsi="Times New Roman" w:cs="Times New Roman"/>
          <w:b/>
          <w:bCs/>
          <w:color w:val="auto"/>
          <w:sz w:val="24"/>
          <w:szCs w:val="24"/>
          <w:lang w:val="en-US" w:eastAsia="zh-CN"/>
        </w:rPr>
        <w:t>5.</w:t>
      </w: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 xml:space="preserve">-1 </w:t>
      </w:r>
      <w:r>
        <w:rPr>
          <w:rFonts w:hint="eastAsia" w:asciiTheme="minorEastAsia" w:hAnsiTheme="minorEastAsia" w:cstheme="minorEastAsia"/>
          <w:b/>
          <w:bCs/>
          <w:color w:val="auto"/>
          <w:sz w:val="24"/>
          <w:szCs w:val="24"/>
          <w:lang w:val="en-US" w:eastAsia="zh-CN"/>
        </w:rPr>
        <w:t>各区域现场踏勘图</w:t>
      </w:r>
    </w:p>
    <w:p>
      <w:pPr>
        <w:pStyle w:val="4"/>
        <w:keepNext/>
        <w:keepLines/>
        <w:pageBreakBefore w:val="0"/>
        <w:widowControl w:val="0"/>
        <w:kinsoku/>
        <w:wordWrap/>
        <w:overflowPunct/>
        <w:topLinePunct w:val="0"/>
        <w:autoSpaceDE/>
        <w:autoSpaceDN/>
        <w:bidi w:val="0"/>
        <w:adjustRightInd/>
        <w:snapToGrid/>
        <w:spacing w:before="0" w:after="0"/>
        <w:textAlignment w:val="auto"/>
        <w:rPr>
          <w:rFonts w:hint="eastAsia"/>
          <w:lang w:val="en-US" w:eastAsia="zh-CN"/>
        </w:rPr>
      </w:pPr>
      <w:bookmarkStart w:id="46" w:name="_Toc21277"/>
      <w:bookmarkStart w:id="47" w:name="_Toc10224"/>
      <w:r>
        <w:rPr>
          <w:rFonts w:hint="eastAsia"/>
          <w:lang w:val="en-US" w:eastAsia="zh-CN"/>
        </w:rPr>
        <w:t>5.3关注污染物</w:t>
      </w:r>
      <w:bookmarkEnd w:id="46"/>
      <w:bookmarkEnd w:id="47"/>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本项目生产过程中主要污染物质有重金属、有机物质等。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各区域污染物见表5.</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-1。</w:t>
      </w:r>
    </w:p>
    <w:p>
      <w:pPr>
        <w:spacing w:line="480" w:lineRule="exact"/>
        <w:jc w:val="center"/>
        <w:rPr>
          <w:rFonts w:hint="default" w:ascii="Times New Roman" w:hAnsi="Times New Roman" w:cs="Times New Roman" w:eastAsiaTheme="minorEastAsia"/>
          <w:b/>
          <w:color w:val="auto"/>
          <w:sz w:val="24"/>
          <w:szCs w:val="24"/>
          <w:lang w:val="en-US" w:eastAsia="zh-CN"/>
        </w:rPr>
      </w:pPr>
      <w:r>
        <w:rPr>
          <w:rFonts w:hint="default" w:ascii="Times New Roman" w:hAnsi="Times New Roman" w:cs="Times New Roman"/>
          <w:b/>
          <w:color w:val="auto"/>
          <w:sz w:val="24"/>
          <w:szCs w:val="24"/>
        </w:rPr>
        <w:t>表</w:t>
      </w:r>
      <w:r>
        <w:rPr>
          <w:rFonts w:hint="default" w:ascii="Times New Roman" w:hAnsi="Times New Roman" w:cs="Times New Roman"/>
          <w:b/>
          <w:color w:val="auto"/>
          <w:sz w:val="24"/>
          <w:szCs w:val="24"/>
          <w:lang w:val="en-US" w:eastAsia="zh-CN"/>
        </w:rPr>
        <w:t>5.3</w:t>
      </w:r>
      <w:r>
        <w:rPr>
          <w:rFonts w:hint="default" w:ascii="Times New Roman" w:hAnsi="Times New Roman" w:cs="Times New Roman"/>
          <w:b/>
          <w:color w:val="auto"/>
          <w:sz w:val="24"/>
          <w:szCs w:val="24"/>
        </w:rPr>
        <w:t>-</w:t>
      </w:r>
      <w:r>
        <w:rPr>
          <w:rFonts w:hint="default" w:ascii="Times New Roman" w:hAnsi="Times New Roman" w:cs="Times New Roman"/>
          <w:b/>
          <w:color w:val="auto"/>
          <w:sz w:val="24"/>
          <w:szCs w:val="24"/>
          <w:lang w:val="en-US" w:eastAsia="zh-CN"/>
        </w:rPr>
        <w:t>1</w:t>
      </w:r>
      <w:r>
        <w:rPr>
          <w:rFonts w:hint="default" w:ascii="Times New Roman" w:hAnsi="Times New Roman" w:cs="Times New Roman"/>
          <w:b/>
          <w:color w:val="auto"/>
          <w:sz w:val="24"/>
          <w:szCs w:val="24"/>
        </w:rPr>
        <w:t xml:space="preserve">  </w:t>
      </w:r>
      <w:r>
        <w:rPr>
          <w:rFonts w:hint="default" w:ascii="Times New Roman" w:hAnsi="Times New Roman" w:cs="Times New Roman"/>
          <w:b/>
          <w:color w:val="auto"/>
          <w:sz w:val="24"/>
          <w:szCs w:val="24"/>
          <w:lang w:val="en-US" w:eastAsia="zh-CN"/>
        </w:rPr>
        <w:t>各区域污染物</w:t>
      </w:r>
    </w:p>
    <w:tbl>
      <w:tblPr>
        <w:tblStyle w:val="17"/>
        <w:tblW w:w="47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088"/>
        <w:gridCol w:w="5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9" w:type="pct"/>
            <w:noWrap w:val="0"/>
            <w:vAlign w:val="center"/>
          </w:tcPr>
          <w:p>
            <w:pPr>
              <w:jc w:val="center"/>
              <w:rPr>
                <w:rFonts w:ascii="Times New Roman" w:hAnsi="Times New Roman"/>
              </w:rPr>
            </w:pPr>
            <w:bookmarkStart w:id="48" w:name="_Toc3169"/>
            <w:r>
              <w:rPr>
                <w:rFonts w:ascii="Times New Roman" w:hAnsi="Times New Roman"/>
              </w:rPr>
              <w:t>设施名称</w:t>
            </w:r>
          </w:p>
        </w:tc>
        <w:tc>
          <w:tcPr>
            <w:tcW w:w="3670" w:type="pct"/>
            <w:noWrap w:val="0"/>
            <w:vAlign w:val="center"/>
          </w:tcPr>
          <w:p>
            <w:pPr>
              <w:jc w:val="center"/>
              <w:rPr>
                <w:rFonts w:ascii="Times New Roman" w:hAnsi="Times New Roman"/>
              </w:rPr>
            </w:pPr>
            <w:r>
              <w:rPr>
                <w:rFonts w:ascii="Times New Roman" w:hAnsi="Times New Roman"/>
              </w:rPr>
              <w:t>污染物名称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9" w:type="pct"/>
            <w:noWrap w:val="0"/>
            <w:vAlign w:val="center"/>
          </w:tcPr>
          <w:p>
            <w:pPr>
              <w:pStyle w:val="20"/>
              <w:jc w:val="center"/>
              <w:rPr>
                <w:rFonts w:ascii="Times New Roman" w:hAnsi="Times New Roman" w:eastAsia="宋体" w:cs="Times New Roman"/>
              </w:rPr>
            </w:pPr>
            <w:r>
              <w:rPr>
                <w:rFonts w:ascii="Times New Roman" w:hAnsi="Times New Roman" w:eastAsia="宋体" w:cs="Times New Roman"/>
                <w:sz w:val="21"/>
                <w:szCs w:val="21"/>
              </w:rPr>
              <w:t>生产车间</w:t>
            </w:r>
          </w:p>
        </w:tc>
        <w:tc>
          <w:tcPr>
            <w:tcW w:w="3670" w:type="pct"/>
            <w:noWrap w:val="0"/>
            <w:vAlign w:val="center"/>
          </w:tcPr>
          <w:p>
            <w:pPr>
              <w:jc w:val="center"/>
              <w:rPr>
                <w:rFonts w:ascii="Times New Roman" w:hAnsi="Times New Roman"/>
              </w:rPr>
            </w:pPr>
            <w:r>
              <w:rPr>
                <w:rFonts w:ascii="Times New Roman" w:hAnsi="Times New Roman"/>
              </w:rPr>
              <w:t>pH、乙醇、环己烷、乙酸乙酯、四氢呋喃、甲醇、三乙胺、二氯甲烷、正庚烷、正己烷、亚硝酸钠、乙腈、DMF、氯苯、液氨、异丙醇、水合肼、溴、磺酰氯、草酰氯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9" w:type="pct"/>
            <w:noWrap w:val="0"/>
            <w:vAlign w:val="center"/>
          </w:tcPr>
          <w:p>
            <w:pPr>
              <w:pStyle w:val="20"/>
              <w:jc w:val="center"/>
              <w:rPr>
                <w:rFonts w:ascii="Times New Roman" w:hAnsi="Times New Roman" w:eastAsia="宋体" w:cs="Times New Roman"/>
                <w:lang w:val="zh-CN"/>
              </w:rPr>
            </w:pPr>
            <w:r>
              <w:rPr>
                <w:rFonts w:ascii="Times New Roman" w:hAnsi="Times New Roman" w:eastAsia="宋体" w:cs="Times New Roman"/>
                <w:sz w:val="21"/>
                <w:szCs w:val="21"/>
              </w:rPr>
              <w:t>污水处理站、RTO</w:t>
            </w:r>
          </w:p>
        </w:tc>
        <w:tc>
          <w:tcPr>
            <w:tcW w:w="3670" w:type="pct"/>
            <w:noWrap w:val="0"/>
            <w:vAlign w:val="center"/>
          </w:tcPr>
          <w:p>
            <w:pPr>
              <w:jc w:val="center"/>
              <w:rPr>
                <w:rFonts w:ascii="Times New Roman" w:hAnsi="Times New Roman"/>
              </w:rPr>
            </w:pPr>
            <w:r>
              <w:rPr>
                <w:rFonts w:ascii="Times New Roman" w:hAnsi="Times New Roman"/>
              </w:rPr>
              <w:t>pH、乙醇、环己烷、乙酸乙酯、四氢呋喃、甲醇、三乙胺、二氯甲烷、正庚烷、正己烷、亚硝酸钠、乙腈、DMF、氯苯、液氨、异丙醇、水合肼、溴、磺酰氯、草酰氯、二噁英、石油烃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9" w:type="pct"/>
            <w:noWrap w:val="0"/>
            <w:vAlign w:val="center"/>
          </w:tcPr>
          <w:p>
            <w:pPr>
              <w:pStyle w:val="20"/>
              <w:jc w:val="center"/>
              <w:rPr>
                <w:rFonts w:ascii="Times New Roman" w:hAnsi="Times New Roman" w:eastAsia="宋体" w:cs="Times New Roman"/>
              </w:rPr>
            </w:pPr>
            <w:r>
              <w:rPr>
                <w:rFonts w:ascii="Times New Roman" w:hAnsi="Times New Roman" w:eastAsia="宋体" w:cs="Times New Roman"/>
                <w:sz w:val="21"/>
                <w:szCs w:val="21"/>
              </w:rPr>
              <w:t>危废仓库、罐区</w:t>
            </w:r>
          </w:p>
        </w:tc>
        <w:tc>
          <w:tcPr>
            <w:tcW w:w="3670" w:type="pct"/>
            <w:noWrap w:val="0"/>
            <w:vAlign w:val="center"/>
          </w:tcPr>
          <w:p>
            <w:pPr>
              <w:jc w:val="center"/>
              <w:rPr>
                <w:rFonts w:ascii="Times New Roman" w:hAnsi="Times New Roman"/>
              </w:rPr>
            </w:pPr>
            <w:r>
              <w:rPr>
                <w:rFonts w:ascii="Times New Roman" w:hAnsi="Times New Roman"/>
              </w:rPr>
              <w:t>pH、乙醇、环己烷、乙酸乙酯、四氢呋喃、甲醇、三乙胺、二氯甲烷、正庚烷、正己烷、亚硝酸钠、乙腈、DMF、氯苯、液氨、异丙醇、水合肼、溴、磺酰氯、草酰氯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29" w:type="pct"/>
            <w:noWrap w:val="0"/>
            <w:vAlign w:val="center"/>
          </w:tcPr>
          <w:p>
            <w:pPr>
              <w:pStyle w:val="20"/>
              <w:jc w:val="center"/>
              <w:rPr>
                <w:rFonts w:ascii="Times New Roman" w:hAnsi="Times New Roman" w:eastAsia="宋体" w:cs="Times New Roman"/>
              </w:rPr>
            </w:pPr>
            <w:r>
              <w:rPr>
                <w:rFonts w:ascii="Times New Roman" w:hAnsi="Times New Roman" w:eastAsia="宋体" w:cs="Times New Roman"/>
                <w:sz w:val="21"/>
                <w:szCs w:val="21"/>
              </w:rPr>
              <w:t>仓库（化学品仓库、成品仓库）</w:t>
            </w:r>
          </w:p>
        </w:tc>
        <w:tc>
          <w:tcPr>
            <w:tcW w:w="3670" w:type="pct"/>
            <w:noWrap w:val="0"/>
            <w:vAlign w:val="center"/>
          </w:tcPr>
          <w:p>
            <w:pPr>
              <w:jc w:val="center"/>
              <w:rPr>
                <w:rFonts w:ascii="Times New Roman" w:hAnsi="Times New Roman"/>
              </w:rPr>
            </w:pPr>
            <w:r>
              <w:rPr>
                <w:rFonts w:ascii="Times New Roman" w:hAnsi="Times New Roman"/>
              </w:rPr>
              <w:t>pH、乙醇、环己烷、乙酸乙酯、四氢呋喃、甲醇、三乙胺、二氯甲烷、正庚烷、正己烷、亚硝酸钠、乙腈、DMF、氯苯、液氨、异丙醇、水合肼、溴、磺酰氯、草酰氯、石油烃</w:t>
            </w:r>
          </w:p>
        </w:tc>
      </w:tr>
    </w:tbl>
    <w:p>
      <w:pPr>
        <w:pStyle w:val="3"/>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6监测点位布设方案</w:t>
      </w:r>
      <w:bookmarkEnd w:id="48"/>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default" w:ascii="Times New Roman" w:hAnsi="Times New Roman" w:cs="Times New Roman"/>
          <w:lang w:val="en-US" w:eastAsia="zh-CN"/>
        </w:rPr>
      </w:pPr>
      <w:bookmarkStart w:id="49" w:name="_Toc19853"/>
      <w:r>
        <w:rPr>
          <w:rFonts w:hint="default" w:ascii="Times New Roman" w:hAnsi="Times New Roman" w:cs="Times New Roman"/>
          <w:lang w:val="en-US" w:eastAsia="zh-CN"/>
        </w:rPr>
        <w:t>6.1重点单元及相应监测点/监测井的布设位置</w:t>
      </w:r>
      <w:bookmarkEnd w:id="49"/>
    </w:p>
    <w:p>
      <w:pPr>
        <w:keepNext w:val="0"/>
        <w:keepLines w:val="0"/>
        <w:widowControl/>
        <w:suppressLineNumbers w:val="0"/>
        <w:jc w:val="center"/>
        <w:rPr>
          <w:rFonts w:hint="default" w:ascii="Times New Roman" w:hAnsi="Times New Roman" w:eastAsia="宋体" w:cs="Times New Roman"/>
          <w:b/>
          <w:color w:val="000000"/>
          <w:kern w:val="0"/>
          <w:sz w:val="24"/>
          <w:szCs w:val="24"/>
          <w:lang w:val="en-US" w:eastAsia="zh-CN" w:bidi="ar"/>
        </w:rPr>
      </w:pPr>
      <w:r>
        <w:rPr>
          <w:rFonts w:hint="default" w:ascii="Times New Roman" w:hAnsi="Times New Roman" w:eastAsia="宋体" w:cs="Times New Roman"/>
          <w:b/>
          <w:color w:val="000000"/>
          <w:kern w:val="0"/>
          <w:sz w:val="24"/>
          <w:szCs w:val="24"/>
          <w:lang w:val="en-US" w:eastAsia="zh-CN" w:bidi="ar"/>
        </w:rPr>
        <w:t>表6.1-1 重点区域划分</w:t>
      </w:r>
    </w:p>
    <w:tbl>
      <w:tblPr>
        <w:tblStyle w:val="17"/>
        <w:tblW w:w="493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26"/>
        <w:gridCol w:w="61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tblHeader/>
          <w:jc w:val="center"/>
        </w:trPr>
        <w:tc>
          <w:tcPr>
            <w:tcW w:w="1322" w:type="pct"/>
            <w:noWrap w:val="0"/>
            <w:vAlign w:val="center"/>
          </w:tcPr>
          <w:p>
            <w:pPr>
              <w:spacing w:line="300" w:lineRule="exact"/>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color w:val="auto"/>
                <w:highlight w:val="none"/>
                <w:lang w:val="en-US" w:eastAsia="zh-CN"/>
              </w:rPr>
              <w:t>区域名称</w:t>
            </w:r>
          </w:p>
        </w:tc>
        <w:tc>
          <w:tcPr>
            <w:tcW w:w="3677" w:type="pct"/>
            <w:noWrap w:val="0"/>
            <w:vAlign w:val="center"/>
          </w:tcPr>
          <w:p>
            <w:pPr>
              <w:spacing w:line="300" w:lineRule="exact"/>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color w:val="auto"/>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blHeader/>
          <w:jc w:val="center"/>
        </w:trPr>
        <w:tc>
          <w:tcPr>
            <w:tcW w:w="1322"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color w:val="auto"/>
                <w:szCs w:val="21"/>
                <w:highlight w:val="none"/>
                <w:lang w:val="en-US" w:eastAsia="zh-CN"/>
              </w:rPr>
              <w:t>生产区</w:t>
            </w:r>
          </w:p>
        </w:tc>
        <w:tc>
          <w:tcPr>
            <w:tcW w:w="367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color w:val="auto"/>
                <w:szCs w:val="21"/>
                <w:highlight w:val="none"/>
                <w:lang w:val="en-US" w:eastAsia="zh-CN"/>
              </w:rPr>
              <w:t>含</w:t>
            </w:r>
            <w:r>
              <w:rPr>
                <w:rFonts w:hint="eastAsia" w:ascii="Times New Roman" w:hAnsi="Times New Roman" w:eastAsia="宋体" w:cs="Times New Roman"/>
                <w:color w:val="0000FF"/>
                <w:sz w:val="21"/>
                <w:szCs w:val="21"/>
                <w:lang w:val="en-US" w:eastAsia="zh-CN"/>
              </w:rPr>
              <w:t>707车间</w:t>
            </w:r>
            <w:r>
              <w:rPr>
                <w:rFonts w:hint="eastAsia" w:ascii="Times New Roman" w:hAnsi="Times New Roman" w:eastAsia="宋体" w:cs="Times New Roman"/>
                <w:color w:val="auto"/>
                <w:sz w:val="21"/>
                <w:szCs w:val="21"/>
                <w:lang w:val="en-US" w:eastAsia="zh-CN"/>
              </w:rPr>
              <w:t>、702车间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blHeader/>
          <w:jc w:val="center"/>
        </w:trPr>
        <w:tc>
          <w:tcPr>
            <w:tcW w:w="1322"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color w:val="auto"/>
                <w:szCs w:val="21"/>
                <w:highlight w:val="none"/>
                <w:lang w:val="en-US" w:eastAsia="zh-CN"/>
              </w:rPr>
              <w:t>储罐区</w:t>
            </w:r>
          </w:p>
        </w:tc>
        <w:tc>
          <w:tcPr>
            <w:tcW w:w="367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blHeader/>
          <w:jc w:val="center"/>
        </w:trPr>
        <w:tc>
          <w:tcPr>
            <w:tcW w:w="1322" w:type="pct"/>
            <w:noWrap w:val="0"/>
            <w:vAlign w:val="center"/>
          </w:tcPr>
          <w:p>
            <w:pPr>
              <w:tabs>
                <w:tab w:val="center" w:pos="732"/>
              </w:tabs>
              <w:spacing w:line="300" w:lineRule="exact"/>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仓储区</w:t>
            </w:r>
          </w:p>
        </w:tc>
        <w:tc>
          <w:tcPr>
            <w:tcW w:w="3677" w:type="pct"/>
            <w:noWrap w:val="0"/>
            <w:vAlign w:val="center"/>
          </w:tcPr>
          <w:p>
            <w:pPr>
              <w:tabs>
                <w:tab w:val="center" w:pos="732"/>
              </w:tabs>
              <w:spacing w:line="300" w:lineRule="exact"/>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丙类</w:t>
            </w:r>
            <w:r>
              <w:rPr>
                <w:rFonts w:hint="default" w:ascii="Times New Roman" w:hAnsi="Times New Roman" w:cs="Times New Roman"/>
                <w:color w:val="auto"/>
                <w:szCs w:val="21"/>
                <w:highlight w:val="none"/>
                <w:lang w:val="en-US" w:eastAsia="zh-CN"/>
              </w:rPr>
              <w:t>仓库</w:t>
            </w:r>
            <w:r>
              <w:rPr>
                <w:rFonts w:hint="eastAsia"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lang w:val="en-US" w:eastAsia="zh-CN"/>
              </w:rPr>
              <w:t>、</w:t>
            </w:r>
            <w:r>
              <w:rPr>
                <w:rFonts w:hint="eastAsia" w:ascii="Times New Roman" w:hAnsi="Times New Roman" w:cs="Times New Roman"/>
                <w:color w:val="auto"/>
                <w:szCs w:val="21"/>
                <w:highlight w:val="none"/>
                <w:lang w:val="en-US" w:eastAsia="zh-CN"/>
              </w:rPr>
              <w:t>甲类</w:t>
            </w:r>
            <w:r>
              <w:rPr>
                <w:rFonts w:hint="default" w:ascii="Times New Roman" w:hAnsi="Times New Roman" w:cs="Times New Roman"/>
                <w:color w:val="auto"/>
                <w:szCs w:val="21"/>
                <w:highlight w:val="none"/>
                <w:lang w:val="en-US" w:eastAsia="zh-CN"/>
              </w:rPr>
              <w:t>仓库</w:t>
            </w:r>
            <w:r>
              <w:rPr>
                <w:rFonts w:hint="eastAsia" w:ascii="Times New Roman" w:hAnsi="Times New Roman" w:cs="Times New Roman"/>
                <w:color w:val="auto"/>
                <w:szCs w:val="21"/>
                <w:highlight w:val="none"/>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blHeader/>
          <w:jc w:val="center"/>
        </w:trPr>
        <w:tc>
          <w:tcPr>
            <w:tcW w:w="1322" w:type="pct"/>
            <w:noWrap w:val="0"/>
            <w:vAlign w:val="center"/>
          </w:tcPr>
          <w:p>
            <w:pPr>
              <w:tabs>
                <w:tab w:val="center" w:pos="732"/>
              </w:tabs>
              <w:spacing w:line="300" w:lineRule="exact"/>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三废处置区</w:t>
            </w:r>
          </w:p>
        </w:tc>
        <w:tc>
          <w:tcPr>
            <w:tcW w:w="367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eastAsia="宋体" w:cs="Times New Roman"/>
                <w:color w:val="auto"/>
                <w:sz w:val="21"/>
                <w:szCs w:val="21"/>
                <w:lang w:val="en-US" w:eastAsia="zh-CN"/>
              </w:rPr>
              <w:t>污水站</w:t>
            </w:r>
            <w:r>
              <w:rPr>
                <w:rFonts w:hint="default" w:ascii="Times New Roman" w:hAnsi="Times New Roman" w:eastAsia="宋体" w:cs="Times New Roman"/>
                <w:color w:val="auto"/>
                <w:sz w:val="21"/>
                <w:szCs w:val="21"/>
                <w:lang w:val="en-US" w:eastAsia="zh-CN"/>
              </w:rPr>
              <w:t>、RTO炉</w:t>
            </w:r>
          </w:p>
        </w:tc>
      </w:tr>
    </w:tbl>
    <w:p>
      <w:pPr>
        <w:jc w:val="center"/>
      </w:pPr>
    </w:p>
    <w:p>
      <w:pPr>
        <w:jc w:val="both"/>
        <w:rPr>
          <w:rFonts w:hint="eastAsia"/>
          <w:b/>
          <w:bCs/>
          <w:lang w:val="en-US" w:eastAsia="zh-CN"/>
        </w:rPr>
      </w:pPr>
      <w:r>
        <w:drawing>
          <wp:inline distT="0" distB="0" distL="114300" distR="114300">
            <wp:extent cx="5664835" cy="3314065"/>
            <wp:effectExtent l="0" t="0" r="12065" b="63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21"/>
                    <a:stretch>
                      <a:fillRect/>
                    </a:stretch>
                  </pic:blipFill>
                  <pic:spPr>
                    <a:xfrm>
                      <a:off x="0" y="0"/>
                      <a:ext cx="5664835" cy="3314065"/>
                    </a:xfrm>
                    <a:prstGeom prst="rect">
                      <a:avLst/>
                    </a:prstGeom>
                    <a:noFill/>
                    <a:ln>
                      <a:noFill/>
                    </a:ln>
                  </pic:spPr>
                </pic:pic>
              </a:graphicData>
            </a:graphic>
          </wp:inline>
        </w:drawing>
      </w:r>
    </w:p>
    <w:p>
      <w:pPr>
        <w:rPr>
          <w:rFonts w:hint="eastAsia"/>
          <w:lang w:val="en-US" w:eastAsia="zh-CN"/>
        </w:rPr>
      </w:pPr>
      <w:bookmarkStart w:id="50" w:name="_Toc10060"/>
      <w:r>
        <w:rPr>
          <w:rFonts w:hint="eastAsia"/>
          <w:lang w:val="en-US" w:eastAsia="zh-CN"/>
        </w:rPr>
        <w:br w:type="page"/>
      </w:r>
    </w:p>
    <w:bookmarkEnd w:id="50"/>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51" w:name="_Toc23056"/>
      <w:bookmarkStart w:id="52" w:name="_Toc29876"/>
      <w:r>
        <w:rPr>
          <w:rFonts w:hint="eastAsia"/>
          <w:lang w:val="en-US" w:eastAsia="zh-CN"/>
        </w:rPr>
        <w:t>6.2各点位布设原因</w:t>
      </w:r>
      <w:bookmarkEnd w:id="51"/>
      <w:bookmarkEnd w:id="52"/>
    </w:p>
    <w:p>
      <w:pPr>
        <w:spacing w:line="480" w:lineRule="exact"/>
        <w:jc w:val="center"/>
        <w:rPr>
          <w:rFonts w:hint="eastAsia"/>
          <w:b/>
          <w:color w:val="auto"/>
          <w:sz w:val="24"/>
          <w:szCs w:val="24"/>
          <w:lang w:val="en-US" w:eastAsia="zh-CN"/>
        </w:rPr>
      </w:pPr>
      <w:r>
        <w:rPr>
          <w:rFonts w:hint="default" w:ascii="Times New Roman" w:hAnsi="Times New Roman" w:cs="Times New Roman"/>
          <w:b/>
          <w:color w:val="auto"/>
          <w:sz w:val="24"/>
          <w:szCs w:val="24"/>
          <w:lang w:val="en-US" w:eastAsia="zh-CN"/>
        </w:rPr>
        <w:t xml:space="preserve">表 6.2-1 </w:t>
      </w:r>
      <w:r>
        <w:rPr>
          <w:rFonts w:hint="eastAsia"/>
          <w:b/>
          <w:color w:val="auto"/>
          <w:sz w:val="24"/>
          <w:szCs w:val="24"/>
          <w:lang w:val="en-US" w:eastAsia="zh-CN"/>
        </w:rPr>
        <w:t>土壤点位布设原因分析</w:t>
      </w:r>
    </w:p>
    <w:tbl>
      <w:tblPr>
        <w:tblStyle w:val="17"/>
        <w:tblW w:w="507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1443"/>
        <w:gridCol w:w="1443"/>
        <w:gridCol w:w="3562"/>
        <w:gridCol w:w="14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tblHeader/>
          <w:jc w:val="center"/>
        </w:trPr>
        <w:tc>
          <w:tcPr>
            <w:tcW w:w="459" w:type="pct"/>
            <w:vMerge w:val="restar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编号</w:t>
            </w:r>
          </w:p>
        </w:tc>
        <w:tc>
          <w:tcPr>
            <w:tcW w:w="3723" w:type="pct"/>
            <w:gridSpan w:val="3"/>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布点位置</w:t>
            </w:r>
          </w:p>
        </w:tc>
        <w:tc>
          <w:tcPr>
            <w:tcW w:w="817" w:type="pct"/>
            <w:vMerge w:val="restar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地下设施、管线情况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7" w:hRule="atLeast"/>
          <w:tblHeader/>
          <w:jc w:val="center"/>
        </w:trPr>
        <w:tc>
          <w:tcPr>
            <w:tcW w:w="459" w:type="pct"/>
            <w:vMerge w:val="continue"/>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p>
        </w:tc>
        <w:tc>
          <w:tcPr>
            <w:tcW w:w="833"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理论布点位置</w:t>
            </w:r>
          </w:p>
        </w:tc>
        <w:tc>
          <w:tcPr>
            <w:tcW w:w="833"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实际布点位置</w:t>
            </w:r>
          </w:p>
        </w:tc>
        <w:tc>
          <w:tcPr>
            <w:tcW w:w="2055"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布点位置确认原因</w:t>
            </w:r>
          </w:p>
        </w:tc>
        <w:tc>
          <w:tcPr>
            <w:tcW w:w="817" w:type="pct"/>
            <w:vMerge w:val="continue"/>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2"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T1</w:t>
            </w:r>
          </w:p>
        </w:tc>
        <w:tc>
          <w:tcPr>
            <w:tcW w:w="8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0000FF"/>
                <w:kern w:val="0"/>
                <w:sz w:val="21"/>
                <w:szCs w:val="21"/>
                <w:lang w:val="en-US" w:eastAsia="zh-CN"/>
              </w:rPr>
              <w:t>707车间北侧</w:t>
            </w:r>
          </w:p>
        </w:tc>
        <w:tc>
          <w:tcPr>
            <w:tcW w:w="833"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生产过程中使用的原料可能造成土壤和地下水的污染，因此确认该点位。</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1"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T2</w:t>
            </w:r>
          </w:p>
        </w:tc>
        <w:tc>
          <w:tcPr>
            <w:tcW w:w="833"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702车间东</w:t>
            </w:r>
            <w:r>
              <w:rPr>
                <w:rFonts w:hint="default" w:ascii="Times New Roman" w:hAnsi="Times New Roman" w:eastAsia="宋体" w:cs="Times New Roman"/>
                <w:color w:val="auto"/>
                <w:kern w:val="0"/>
                <w:sz w:val="21"/>
                <w:szCs w:val="21"/>
                <w:lang w:val="en-US" w:eastAsia="zh-CN"/>
              </w:rPr>
              <w:t>侧</w:t>
            </w:r>
          </w:p>
        </w:tc>
        <w:tc>
          <w:tcPr>
            <w:tcW w:w="833"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生产过程中使用的原料可能造成土壤和地下水的污染，因此确认该点位。</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2"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T3</w:t>
            </w:r>
          </w:p>
        </w:tc>
        <w:tc>
          <w:tcPr>
            <w:tcW w:w="833"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污水站北侧</w:t>
            </w:r>
          </w:p>
        </w:tc>
        <w:tc>
          <w:tcPr>
            <w:tcW w:w="833"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废水处理设施产生废水、酸、碱等可能造成土壤和地下水污染，因此确认该点位</w:t>
            </w:r>
            <w:r>
              <w:rPr>
                <w:rFonts w:hint="eastAsia" w:ascii="Times New Roman" w:hAnsi="Times New Roman" w:eastAsia="宋体" w:cs="Times New Roman"/>
                <w:color w:val="auto"/>
                <w:sz w:val="21"/>
                <w:szCs w:val="21"/>
                <w:lang w:val="en-US" w:eastAsia="zh-CN"/>
              </w:rPr>
              <w:t>。</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2"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T4</w:t>
            </w:r>
          </w:p>
        </w:tc>
        <w:tc>
          <w:tcPr>
            <w:tcW w:w="833"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RTO旁</w:t>
            </w:r>
          </w:p>
        </w:tc>
        <w:tc>
          <w:tcPr>
            <w:tcW w:w="833"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废气</w:t>
            </w:r>
            <w:r>
              <w:rPr>
                <w:rFonts w:hint="default" w:ascii="Times New Roman" w:hAnsi="Times New Roman" w:eastAsia="宋体" w:cs="Times New Roman"/>
                <w:color w:val="auto"/>
                <w:sz w:val="21"/>
                <w:szCs w:val="21"/>
                <w:lang w:val="en-US" w:eastAsia="zh-CN"/>
              </w:rPr>
              <w:t>处理可能造成土壤和地下水的污染，因此确认该点位。</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2"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T5</w:t>
            </w:r>
          </w:p>
        </w:tc>
        <w:tc>
          <w:tcPr>
            <w:tcW w:w="833"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储罐东北角</w:t>
            </w:r>
          </w:p>
        </w:tc>
        <w:tc>
          <w:tcPr>
            <w:tcW w:w="833"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储罐储存的物料可能造成土壤和地下水的污染，因此确认该点位。</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2"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T6</w:t>
            </w:r>
          </w:p>
        </w:tc>
        <w:tc>
          <w:tcPr>
            <w:tcW w:w="833"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丙类仓库2北侧</w:t>
            </w:r>
          </w:p>
        </w:tc>
        <w:tc>
          <w:tcPr>
            <w:tcW w:w="833"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仓库储存的物料可能造成土壤和地下水的污染，因此确认该点位</w:t>
            </w:r>
            <w:r>
              <w:rPr>
                <w:rFonts w:hint="eastAsia" w:ascii="Times New Roman" w:hAnsi="Times New Roman" w:eastAsia="宋体" w:cs="Times New Roman"/>
                <w:color w:val="auto"/>
                <w:sz w:val="21"/>
                <w:szCs w:val="21"/>
                <w:lang w:val="en-US" w:eastAsia="zh-CN"/>
              </w:rPr>
              <w:t>。</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2"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T7</w:t>
            </w:r>
          </w:p>
        </w:tc>
        <w:tc>
          <w:tcPr>
            <w:tcW w:w="833"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甲类仓库3南侧</w:t>
            </w:r>
          </w:p>
        </w:tc>
        <w:tc>
          <w:tcPr>
            <w:tcW w:w="833"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仓库储存的物料可能造成土壤和地下水的污染，因此确认该点位</w:t>
            </w:r>
            <w:r>
              <w:rPr>
                <w:rFonts w:hint="eastAsia" w:ascii="Times New Roman" w:hAnsi="Times New Roman" w:eastAsia="宋体" w:cs="Times New Roman"/>
                <w:color w:val="auto"/>
                <w:sz w:val="21"/>
                <w:szCs w:val="21"/>
                <w:lang w:val="en-US" w:eastAsia="zh-CN"/>
              </w:rPr>
              <w:t>。</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tblHeader/>
          <w:jc w:val="center"/>
        </w:trPr>
        <w:tc>
          <w:tcPr>
            <w:tcW w:w="459"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8</w:t>
            </w:r>
          </w:p>
        </w:tc>
        <w:tc>
          <w:tcPr>
            <w:tcW w:w="8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厂区外东南对照点</w:t>
            </w:r>
          </w:p>
        </w:tc>
        <w:tc>
          <w:tcPr>
            <w:tcW w:w="833"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同理论布点位置</w:t>
            </w:r>
          </w:p>
        </w:tc>
        <w:tc>
          <w:tcPr>
            <w:tcW w:w="205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对照点</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无</w:t>
            </w:r>
          </w:p>
        </w:tc>
      </w:tr>
    </w:tbl>
    <w:p>
      <w:pPr>
        <w:spacing w:line="480" w:lineRule="exact"/>
        <w:jc w:val="center"/>
        <w:rPr>
          <w:rFonts w:hint="default" w:ascii="Times New Roman" w:hAnsi="Times New Roman" w:cs="Times New Roman"/>
          <w:b/>
          <w:color w:val="auto"/>
          <w:sz w:val="24"/>
          <w:szCs w:val="24"/>
          <w:lang w:val="en-US" w:eastAsia="zh-CN"/>
        </w:rPr>
      </w:pPr>
    </w:p>
    <w:p>
      <w:pPr>
        <w:spacing w:line="480" w:lineRule="exact"/>
        <w:jc w:val="center"/>
        <w:rPr>
          <w:rFonts w:hint="default" w:ascii="Times New Roman" w:hAnsi="Times New Roman" w:cs="Times New Roman"/>
          <w:b/>
          <w:color w:val="auto"/>
          <w:sz w:val="24"/>
          <w:szCs w:val="24"/>
          <w:lang w:val="en-US" w:eastAsia="zh-CN"/>
        </w:rPr>
      </w:pPr>
    </w:p>
    <w:p>
      <w:pPr>
        <w:spacing w:line="480" w:lineRule="exact"/>
        <w:jc w:val="center"/>
        <w:rPr>
          <w:rFonts w:hint="default" w:ascii="Times New Roman" w:hAnsi="Times New Roman" w:cs="Times New Roman"/>
          <w:b/>
          <w:color w:val="auto"/>
          <w:sz w:val="24"/>
          <w:szCs w:val="24"/>
          <w:lang w:val="en-US" w:eastAsia="zh-CN"/>
        </w:rPr>
      </w:pPr>
    </w:p>
    <w:p>
      <w:pPr>
        <w:spacing w:line="480" w:lineRule="exact"/>
        <w:jc w:val="center"/>
        <w:rPr>
          <w:rFonts w:hint="default" w:ascii="Times New Roman" w:hAnsi="Times New Roman" w:cs="Times New Roman"/>
          <w:b/>
          <w:color w:val="auto"/>
          <w:sz w:val="24"/>
          <w:szCs w:val="24"/>
          <w:lang w:val="en-US" w:eastAsia="zh-CN"/>
        </w:rPr>
      </w:pPr>
    </w:p>
    <w:p>
      <w:pPr>
        <w:spacing w:line="480" w:lineRule="exact"/>
        <w:jc w:val="center"/>
        <w:rPr>
          <w:rFonts w:hint="default" w:ascii="Times New Roman" w:hAnsi="Times New Roman" w:cs="Times New Roman"/>
          <w:b/>
          <w:color w:val="auto"/>
          <w:sz w:val="24"/>
          <w:szCs w:val="24"/>
          <w:lang w:val="en-US" w:eastAsia="zh-CN"/>
        </w:rPr>
      </w:pPr>
    </w:p>
    <w:p>
      <w:pPr>
        <w:spacing w:line="480" w:lineRule="exact"/>
        <w:jc w:val="center"/>
        <w:rPr>
          <w:rFonts w:hint="default" w:ascii="Times New Roman" w:hAnsi="Times New Roman" w:cs="Times New Roman"/>
          <w:b/>
          <w:color w:val="auto"/>
          <w:sz w:val="24"/>
          <w:szCs w:val="24"/>
          <w:lang w:val="en-US" w:eastAsia="zh-CN"/>
        </w:rPr>
      </w:pPr>
    </w:p>
    <w:p>
      <w:pPr>
        <w:pStyle w:val="2"/>
        <w:rPr>
          <w:rFonts w:hint="default"/>
          <w:lang w:val="en-US" w:eastAsia="zh-CN"/>
        </w:rPr>
      </w:pPr>
    </w:p>
    <w:p>
      <w:pPr>
        <w:spacing w:line="480" w:lineRule="exact"/>
        <w:jc w:val="center"/>
        <w:rPr>
          <w:rFonts w:hint="eastAsia"/>
          <w:b/>
          <w:color w:val="auto"/>
          <w:sz w:val="24"/>
          <w:szCs w:val="24"/>
          <w:lang w:val="en-US" w:eastAsia="zh-CN"/>
        </w:rPr>
      </w:pPr>
      <w:r>
        <w:rPr>
          <w:rFonts w:hint="default" w:ascii="Times New Roman" w:hAnsi="Times New Roman" w:cs="Times New Roman"/>
          <w:b/>
          <w:color w:val="auto"/>
          <w:sz w:val="24"/>
          <w:szCs w:val="24"/>
          <w:lang w:val="en-US" w:eastAsia="zh-CN"/>
        </w:rPr>
        <w:t>表 6.2-2 地</w:t>
      </w:r>
      <w:r>
        <w:rPr>
          <w:rFonts w:hint="eastAsia"/>
          <w:b/>
          <w:color w:val="auto"/>
          <w:sz w:val="24"/>
          <w:szCs w:val="24"/>
          <w:lang w:val="en-US" w:eastAsia="zh-CN"/>
        </w:rPr>
        <w:t>下水点位布设原因分析</w:t>
      </w:r>
    </w:p>
    <w:tbl>
      <w:tblPr>
        <w:tblStyle w:val="17"/>
        <w:tblW w:w="476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1356"/>
        <w:gridCol w:w="1356"/>
        <w:gridCol w:w="3331"/>
        <w:gridCol w:w="13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blHeader/>
          <w:jc w:val="center"/>
        </w:trPr>
        <w:tc>
          <w:tcPr>
            <w:tcW w:w="461" w:type="pct"/>
            <w:vMerge w:val="restar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编号</w:t>
            </w:r>
          </w:p>
        </w:tc>
        <w:tc>
          <w:tcPr>
            <w:tcW w:w="3721" w:type="pct"/>
            <w:gridSpan w:val="3"/>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布点位置</w:t>
            </w:r>
          </w:p>
        </w:tc>
        <w:tc>
          <w:tcPr>
            <w:tcW w:w="817" w:type="pct"/>
            <w:vMerge w:val="restar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地下设施、管线情况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0" w:hRule="atLeast"/>
          <w:tblHeader/>
          <w:jc w:val="center"/>
        </w:trPr>
        <w:tc>
          <w:tcPr>
            <w:tcW w:w="461" w:type="pct"/>
            <w:vMerge w:val="continue"/>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p>
        </w:tc>
        <w:tc>
          <w:tcPr>
            <w:tcW w:w="835"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理论布点位置</w:t>
            </w:r>
          </w:p>
        </w:tc>
        <w:tc>
          <w:tcPr>
            <w:tcW w:w="835"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实际布点位置</w:t>
            </w:r>
          </w:p>
        </w:tc>
        <w:tc>
          <w:tcPr>
            <w:tcW w:w="2051" w:type="pct"/>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布点位置确认原因</w:t>
            </w:r>
          </w:p>
        </w:tc>
        <w:tc>
          <w:tcPr>
            <w:tcW w:w="817" w:type="pct"/>
            <w:vMerge w:val="continue"/>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tblHeader/>
          <w:jc w:val="center"/>
        </w:trPr>
        <w:tc>
          <w:tcPr>
            <w:tcW w:w="461"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D1</w:t>
            </w:r>
          </w:p>
        </w:tc>
        <w:tc>
          <w:tcPr>
            <w:tcW w:w="83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0000FF"/>
                <w:kern w:val="0"/>
                <w:sz w:val="21"/>
                <w:szCs w:val="21"/>
                <w:lang w:val="en-US" w:eastAsia="zh-CN"/>
              </w:rPr>
              <w:t>707车间北侧</w:t>
            </w:r>
          </w:p>
        </w:tc>
        <w:tc>
          <w:tcPr>
            <w:tcW w:w="835"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1"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生产过程中使用的原料可能造成土壤和地下水的污染，因此确认该点位。</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0" w:hRule="atLeast"/>
          <w:tblHeader/>
          <w:jc w:val="center"/>
        </w:trPr>
        <w:tc>
          <w:tcPr>
            <w:tcW w:w="461"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D2</w:t>
            </w:r>
          </w:p>
        </w:tc>
        <w:tc>
          <w:tcPr>
            <w:tcW w:w="1356" w:type="dxa"/>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702车间东</w:t>
            </w:r>
            <w:r>
              <w:rPr>
                <w:rFonts w:hint="default" w:ascii="Times New Roman" w:hAnsi="Times New Roman" w:eastAsia="宋体" w:cs="Times New Roman"/>
                <w:color w:val="auto"/>
                <w:kern w:val="0"/>
                <w:sz w:val="21"/>
                <w:szCs w:val="21"/>
                <w:lang w:val="en-US" w:eastAsia="zh-CN"/>
              </w:rPr>
              <w:t>侧</w:t>
            </w:r>
          </w:p>
        </w:tc>
        <w:tc>
          <w:tcPr>
            <w:tcW w:w="1356" w:type="dxa"/>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3331" w:type="dxa"/>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生产过程中使用的原料可能造成土壤和地下水的污染，因此确认该点位。</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tblHeader/>
          <w:jc w:val="center"/>
        </w:trPr>
        <w:tc>
          <w:tcPr>
            <w:tcW w:w="461"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D3</w:t>
            </w:r>
          </w:p>
        </w:tc>
        <w:tc>
          <w:tcPr>
            <w:tcW w:w="1356" w:type="dxa"/>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储罐东北角</w:t>
            </w:r>
          </w:p>
        </w:tc>
        <w:tc>
          <w:tcPr>
            <w:tcW w:w="1356" w:type="dxa"/>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33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储罐储存的物料可能造成土壤和地下水的污染，因此确认该点位。</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tblHeader/>
          <w:jc w:val="center"/>
        </w:trPr>
        <w:tc>
          <w:tcPr>
            <w:tcW w:w="461"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D4</w:t>
            </w:r>
          </w:p>
        </w:tc>
        <w:tc>
          <w:tcPr>
            <w:tcW w:w="1356" w:type="dxa"/>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丙类仓库2北侧</w:t>
            </w:r>
          </w:p>
        </w:tc>
        <w:tc>
          <w:tcPr>
            <w:tcW w:w="1356" w:type="dxa"/>
            <w:noWrap w:val="0"/>
            <w:vAlign w:val="center"/>
          </w:tcPr>
          <w:p>
            <w:pPr>
              <w:keepNext w:val="0"/>
              <w:keepLines w:val="0"/>
              <w:pageBreakBefore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333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仓库储存的物料可能造成土壤和地下水的污染，因此确认该点位</w:t>
            </w:r>
            <w:r>
              <w:rPr>
                <w:rFonts w:hint="eastAsia" w:ascii="Times New Roman" w:hAnsi="Times New Roman" w:eastAsia="宋体" w:cs="Times New Roman"/>
                <w:color w:val="auto"/>
                <w:sz w:val="21"/>
                <w:szCs w:val="21"/>
                <w:lang w:val="en-US" w:eastAsia="zh-CN"/>
              </w:rPr>
              <w:t>。</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3" w:hRule="atLeast"/>
          <w:tblHeader/>
          <w:jc w:val="center"/>
        </w:trPr>
        <w:tc>
          <w:tcPr>
            <w:tcW w:w="461"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D5</w:t>
            </w:r>
          </w:p>
        </w:tc>
        <w:tc>
          <w:tcPr>
            <w:tcW w:w="835"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厂区外</w:t>
            </w:r>
            <w:r>
              <w:rPr>
                <w:rFonts w:hint="eastAsia" w:ascii="Times New Roman" w:hAnsi="Times New Roman" w:eastAsia="宋体" w:cs="Times New Roman"/>
                <w:color w:val="auto"/>
                <w:kern w:val="0"/>
                <w:sz w:val="21"/>
                <w:szCs w:val="21"/>
                <w:lang w:val="en-US" w:eastAsia="zh-CN" w:bidi="ar-SA"/>
              </w:rPr>
              <w:t>东南对照点</w:t>
            </w:r>
          </w:p>
        </w:tc>
        <w:tc>
          <w:tcPr>
            <w:tcW w:w="835"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同理论布点位置</w:t>
            </w:r>
          </w:p>
        </w:tc>
        <w:tc>
          <w:tcPr>
            <w:tcW w:w="2051"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对照点</w:t>
            </w:r>
          </w:p>
        </w:tc>
        <w:tc>
          <w:tcPr>
            <w:tcW w:w="817" w:type="pct"/>
            <w:noWrap w:val="0"/>
            <w:vAlign w:val="center"/>
          </w:tcPr>
          <w:p>
            <w:pPr>
              <w:keepNext w:val="0"/>
              <w:keepLines w:val="0"/>
              <w:pageBreakBefore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w:t>
            </w:r>
          </w:p>
        </w:tc>
      </w:tr>
    </w:tbl>
    <w:p>
      <w:pPr>
        <w:rPr>
          <w:rFonts w:hint="default"/>
          <w:lang w:val="en-US" w:eastAsia="zh-CN"/>
        </w:rPr>
      </w:pPr>
    </w:p>
    <w:p>
      <w:pPr>
        <w:pStyle w:val="4"/>
        <w:keepNext/>
        <w:keepLines/>
        <w:pageBreakBefore w:val="0"/>
        <w:widowControl w:val="0"/>
        <w:kinsoku/>
        <w:wordWrap/>
        <w:overflowPunct/>
        <w:topLinePunct w:val="0"/>
        <w:autoSpaceDE/>
        <w:autoSpaceDN/>
        <w:bidi w:val="0"/>
        <w:adjustRightInd/>
        <w:snapToGrid/>
        <w:spacing w:before="0" w:after="0" w:line="440" w:lineRule="exact"/>
        <w:textAlignment w:val="auto"/>
        <w:outlineLvl w:val="0"/>
        <w:rPr>
          <w:rFonts w:hint="eastAsia"/>
          <w:lang w:val="en-US" w:eastAsia="zh-CN"/>
        </w:rPr>
      </w:pPr>
      <w:bookmarkStart w:id="53" w:name="_Toc15682"/>
      <w:bookmarkStart w:id="54" w:name="_Toc16295"/>
      <w:r>
        <w:rPr>
          <w:rFonts w:hint="eastAsia"/>
          <w:lang w:val="en-US" w:eastAsia="zh-CN"/>
        </w:rPr>
        <w:t>6.3</w:t>
      </w:r>
      <w:r>
        <w:rPr>
          <w:rFonts w:hint="default" w:ascii="Times New Roman" w:hAnsi="Times New Roman" w:cs="Times New Roman"/>
          <w:lang w:val="en-US" w:eastAsia="zh-CN"/>
        </w:rPr>
        <w:t>各点位监测指标及选取原因</w:t>
      </w:r>
      <w:bookmarkEnd w:id="53"/>
      <w:bookmarkEnd w:id="54"/>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根据分析结果确定，该地块涉及到的主要特征污染物有：</w:t>
      </w:r>
      <w:r>
        <w:rPr>
          <w:rFonts w:hint="eastAsia" w:ascii="宋体" w:hAnsi="宋体" w:eastAsia="宋体" w:cs="宋体"/>
          <w:color w:val="auto"/>
          <w:sz w:val="24"/>
          <w:szCs w:val="24"/>
          <w:lang w:val="en-US" w:eastAsia="zh-CN"/>
        </w:rPr>
        <w:t>“</w:t>
      </w:r>
      <w:r>
        <w:rPr>
          <w:rFonts w:hint="default" w:ascii="Times New Roman" w:hAnsi="Times New Roman" w:cs="Times New Roman"/>
          <w:color w:val="auto"/>
          <w:sz w:val="24"/>
          <w:szCs w:val="24"/>
          <w:lang w:val="en-US" w:eastAsia="zh-CN"/>
        </w:rPr>
        <w:t>pH、乙醇、环己烷、乙酸乙酯、四氢呋喃、甲醇、三乙胺、二氯甲烷、正庚烷、正己烷、亚硝酸钠、乙腈、DMF、氯苯、异丙醇、水合肼、溴、磺酰氯、草酰氯、二噁英、石油烃</w:t>
      </w:r>
      <w:r>
        <w:rPr>
          <w:rFonts w:hint="eastAsia" w:ascii="宋体" w:hAnsi="宋体" w:eastAsia="宋体" w:cs="宋体"/>
          <w:color w:val="auto"/>
          <w:sz w:val="24"/>
          <w:szCs w:val="24"/>
          <w:lang w:val="en-US" w:eastAsia="zh-CN"/>
        </w:rPr>
        <w:t>”</w:t>
      </w:r>
      <w:r>
        <w:rPr>
          <w:rFonts w:hint="default" w:ascii="Times New Roman" w:hAnsi="Times New Roman" w:cs="Times New Roman"/>
          <w:color w:val="auto"/>
          <w:sz w:val="24"/>
          <w:szCs w:val="24"/>
          <w:lang w:val="en-US" w:eastAsia="zh-CN"/>
        </w:rPr>
        <w:t>等。其中环己烷、乙醇、乙酸乙酯、四氢呋喃、正庚烷、正己烷、溴、异丙醇、草酰氯、磺酰氯无国际标准分析方法；土壤中的甲醇、水合肼、DMF无标准分析方法。最终确定分析项目，土壤：GB36600中的45项+pH</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总石油烃C10-C40</w:t>
      </w:r>
      <w:r>
        <w:rPr>
          <w:rFonts w:hint="eastAsia" w:ascii="Times New Roman" w:hAnsi="Times New Roman" w:cs="Times New Roman"/>
          <w:color w:val="auto"/>
          <w:sz w:val="24"/>
          <w:szCs w:val="24"/>
          <w:lang w:val="en-US" w:eastAsia="zh-CN"/>
        </w:rPr>
        <w:t>+氰化物+DMF</w:t>
      </w:r>
      <w:r>
        <w:rPr>
          <w:rFonts w:hint="default" w:ascii="Times New Roman" w:hAnsi="Times New Roman" w:cs="Times New Roman"/>
          <w:color w:val="auto"/>
          <w:sz w:val="24"/>
          <w:szCs w:val="24"/>
          <w:lang w:val="en-US" w:eastAsia="zh-CN"/>
        </w:rPr>
        <w:t>；地下水：GB/T 14848中的3</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项+总石油烃C10-C40</w:t>
      </w:r>
      <w:r>
        <w:rPr>
          <w:rFonts w:hint="eastAsia" w:ascii="Times New Roman" w:hAnsi="Times New Roman" w:cs="Times New Roman"/>
          <w:color w:val="auto"/>
          <w:sz w:val="24"/>
          <w:szCs w:val="24"/>
          <w:lang w:val="en-US" w:eastAsia="zh-CN"/>
        </w:rPr>
        <w:t>+三乙胺+甲醇+DMF+水合肼</w:t>
      </w:r>
      <w:r>
        <w:rPr>
          <w:rFonts w:hint="default" w:ascii="Times New Roman" w:hAnsi="Times New Roman"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color w:val="000000"/>
          <w:kern w:val="0"/>
          <w:sz w:val="24"/>
          <w:szCs w:val="24"/>
          <w:lang w:val="en-US" w:eastAsia="zh-CN" w:bidi="ar"/>
        </w:rPr>
      </w:pPr>
      <w:r>
        <w:rPr>
          <w:rFonts w:hint="eastAsia" w:ascii="Times New Roman" w:hAnsi="Times New Roman" w:cs="Times New Roman"/>
          <w:color w:val="auto"/>
          <w:sz w:val="24"/>
          <w:szCs w:val="24"/>
          <w:lang w:val="en-US" w:eastAsia="zh-CN"/>
        </w:rPr>
        <w:t>监测项目详</w:t>
      </w:r>
      <w:r>
        <w:rPr>
          <w:rFonts w:hint="default" w:ascii="Times New Roman" w:hAnsi="Times New Roman" w:cs="Times New Roman"/>
          <w:color w:val="auto"/>
          <w:sz w:val="24"/>
          <w:szCs w:val="24"/>
          <w:lang w:val="en-US" w:eastAsia="zh-CN"/>
        </w:rPr>
        <w:t>见表 6.3-1。</w:t>
      </w:r>
      <w:r>
        <w:rPr>
          <w:rFonts w:hint="eastAsia" w:asciiTheme="minorEastAsia" w:hAnsiTheme="minorEastAsia" w:cstheme="minorEastAsia"/>
          <w:color w:val="auto"/>
          <w:sz w:val="24"/>
          <w:szCs w:val="24"/>
          <w:lang w:val="en-US" w:eastAsia="zh-CN"/>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color w:val="000000"/>
          <w:kern w:val="0"/>
          <w:sz w:val="24"/>
          <w:szCs w:val="24"/>
          <w:lang w:val="en-US" w:eastAsia="zh-CN" w:bidi="ar"/>
        </w:rPr>
      </w:pPr>
      <w:r>
        <w:rPr>
          <w:rFonts w:hint="default" w:ascii="Times New Roman" w:hAnsi="Times New Roman" w:eastAsia="宋体" w:cs="Times New Roman"/>
          <w:b/>
          <w:color w:val="000000"/>
          <w:kern w:val="0"/>
          <w:sz w:val="24"/>
          <w:szCs w:val="24"/>
          <w:lang w:val="en-US" w:eastAsia="zh-CN" w:bidi="ar"/>
        </w:rPr>
        <w:t xml:space="preserve">表6.3-1 </w:t>
      </w:r>
      <w:r>
        <w:rPr>
          <w:rFonts w:hint="eastAsia" w:ascii="宋体" w:hAnsi="宋体" w:eastAsia="宋体" w:cs="宋体"/>
          <w:b/>
          <w:color w:val="000000"/>
          <w:kern w:val="0"/>
          <w:sz w:val="24"/>
          <w:szCs w:val="24"/>
          <w:lang w:val="en-US" w:eastAsia="zh-CN" w:bidi="ar"/>
        </w:rPr>
        <w:t>土壤及地下水测试项目</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3"/>
        <w:gridCol w:w="2211"/>
        <w:gridCol w:w="5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blHeader/>
        </w:trPr>
        <w:tc>
          <w:tcPr>
            <w:tcW w:w="653"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项目</w:t>
            </w:r>
          </w:p>
        </w:tc>
        <w:tc>
          <w:tcPr>
            <w:tcW w:w="1297"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类别</w:t>
            </w:r>
          </w:p>
        </w:tc>
        <w:tc>
          <w:tcPr>
            <w:tcW w:w="3049"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653" w:type="pct"/>
            <w:vMerge w:val="restar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土壤</w:t>
            </w:r>
          </w:p>
        </w:tc>
        <w:tc>
          <w:tcPr>
            <w:tcW w:w="1297"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重金属</w:t>
            </w:r>
          </w:p>
        </w:tc>
        <w:tc>
          <w:tcPr>
            <w:tcW w:w="3049"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砷、镉、六价铬、铜、铅、汞、镍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pct"/>
            <w:vMerge w:val="continue"/>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1297"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挥发性污染物（VOCs）27项</w:t>
            </w:r>
          </w:p>
        </w:tc>
        <w:tc>
          <w:tcPr>
            <w:tcW w:w="3049"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pct"/>
            <w:vMerge w:val="continue"/>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1297"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半挥发性有机污染物（SVOC）11项</w:t>
            </w:r>
          </w:p>
        </w:tc>
        <w:tc>
          <w:tcPr>
            <w:tcW w:w="3049"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硝基苯、苯胺、2-氯苯酚、苯并[a]蒽、苯并[a]芘、苯并[b]荧蒽、苯并[k]荧蒽、䓛、二苯并[a,h]蒽、茚并[1,2,3-cd]芘、萘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pct"/>
            <w:vMerge w:val="continue"/>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1297"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关注污染物</w:t>
            </w:r>
          </w:p>
        </w:tc>
        <w:tc>
          <w:tcPr>
            <w:tcW w:w="3049"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pH、总石油烃C10-C40、氰化物、DMF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pct"/>
            <w:vMerge w:val="restar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地下水</w:t>
            </w:r>
          </w:p>
        </w:tc>
        <w:tc>
          <w:tcPr>
            <w:tcW w:w="1297"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地下水35项</w:t>
            </w:r>
          </w:p>
        </w:tc>
        <w:tc>
          <w:tcPr>
            <w:tcW w:w="3049"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pH值、色度、臭和味、肉眼可见物、浊度、总硬度、溶解性总固体、硫酸盐、氯化物、铁、锰、铜、锌、铝、挥发性酚类、阴离子表面活性剂、耗氧量、氨氮、硫化物、钠、亚硝酸盐、硝酸盐、氰化物、氟化物、碘化物、汞、砷、硒、镉、六价铬、铅、三氯甲烷、四氯化碳、苯、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 w:type="pct"/>
            <w:vMerge w:val="continue"/>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p>
        </w:tc>
        <w:tc>
          <w:tcPr>
            <w:tcW w:w="1297"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关注污染物</w:t>
            </w:r>
          </w:p>
        </w:tc>
        <w:tc>
          <w:tcPr>
            <w:tcW w:w="3049" w:type="pct"/>
            <w:noWrap w:val="0"/>
            <w:vAlign w:val="center"/>
          </w:tcPr>
          <w:p>
            <w:pPr>
              <w:autoSpaceDE/>
              <w:autoSpaceDN/>
              <w:adjustRightInd w:val="0"/>
              <w:spacing w:before="0" w:after="0" w:line="240" w:lineRule="auto"/>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总石油烃C10-C40、三乙胺、甲醇、DMF、水合肼</w:t>
            </w:r>
          </w:p>
        </w:tc>
      </w:tr>
    </w:tbl>
    <w:p>
      <w:pPr>
        <w:rPr>
          <w:rFonts w:hint="eastAsia"/>
          <w:lang w:val="en-US" w:eastAsia="zh-CN"/>
        </w:rPr>
        <w:sectPr>
          <w:footerReference r:id="rId6" w:type="default"/>
          <w:pgSz w:w="11906" w:h="16838"/>
          <w:pgMar w:top="1701" w:right="1800" w:bottom="1729"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default" w:ascii="Times New Roman" w:hAnsi="Times New Roman" w:cs="Times New Roman"/>
          <w:lang w:val="en-US" w:eastAsia="zh-CN"/>
        </w:rPr>
      </w:pPr>
      <w:bookmarkStart w:id="55" w:name="_Toc15343"/>
      <w:bookmarkStart w:id="56" w:name="_Toc17991"/>
      <w:r>
        <w:rPr>
          <w:rFonts w:hint="default" w:ascii="Times New Roman" w:hAnsi="Times New Roman" w:cs="Times New Roman"/>
          <w:lang w:val="en-US" w:eastAsia="zh-CN"/>
        </w:rPr>
        <w:t>7 样品采集、保存、流转与制备</w:t>
      </w:r>
      <w:bookmarkEnd w:id="55"/>
    </w:p>
    <w:p>
      <w:pPr>
        <w:pStyle w:val="4"/>
        <w:keepNext/>
        <w:keepLines/>
        <w:pageBreakBefore w:val="0"/>
        <w:widowControl w:val="0"/>
        <w:kinsoku/>
        <w:wordWrap/>
        <w:overflowPunct/>
        <w:topLinePunct w:val="0"/>
        <w:autoSpaceDE/>
        <w:autoSpaceDN/>
        <w:bidi w:val="0"/>
        <w:adjustRightInd/>
        <w:snapToGrid/>
        <w:spacing w:before="0" w:after="0"/>
        <w:textAlignment w:val="auto"/>
        <w:rPr>
          <w:rFonts w:hint="default"/>
          <w:lang w:val="en-US" w:eastAsia="zh-CN"/>
        </w:rPr>
      </w:pPr>
      <w:bookmarkStart w:id="57" w:name="_Toc5279"/>
      <w:r>
        <w:rPr>
          <w:rFonts w:hint="default" w:ascii="Times New Roman" w:hAnsi="Times New Roman" w:cs="Times New Roman"/>
          <w:lang w:val="en-US" w:eastAsia="zh-CN"/>
        </w:rPr>
        <w:t>7.1 现场采</w:t>
      </w:r>
      <w:r>
        <w:rPr>
          <w:rFonts w:hint="eastAsia"/>
          <w:lang w:val="en-US" w:eastAsia="zh-CN"/>
        </w:rPr>
        <w:t>样位置、数量和深度</w:t>
      </w:r>
      <w:bookmarkEnd w:id="57"/>
    </w:p>
    <w:p>
      <w:pPr>
        <w:keepNext w:val="0"/>
        <w:keepLines w:val="0"/>
        <w:widowControl/>
        <w:suppressLineNumbers w:val="0"/>
        <w:jc w:val="center"/>
        <w:rPr>
          <w:rFonts w:hint="default" w:ascii="宋体" w:hAnsi="宋体" w:eastAsia="宋体" w:cs="宋体"/>
          <w:b/>
          <w:color w:val="000000"/>
          <w:kern w:val="0"/>
          <w:sz w:val="24"/>
          <w:szCs w:val="24"/>
          <w:lang w:val="en-US" w:eastAsia="zh-CN" w:bidi="ar"/>
        </w:rPr>
      </w:pPr>
      <w:r>
        <w:rPr>
          <w:rFonts w:hint="default" w:ascii="Times New Roman" w:hAnsi="Times New Roman" w:eastAsia="宋体" w:cs="Times New Roman"/>
          <w:b/>
          <w:color w:val="000000"/>
          <w:kern w:val="0"/>
          <w:sz w:val="24"/>
          <w:szCs w:val="24"/>
          <w:lang w:val="en-US" w:eastAsia="zh-CN" w:bidi="ar"/>
        </w:rPr>
        <w:t>表</w:t>
      </w:r>
      <w:r>
        <w:rPr>
          <w:rFonts w:hint="eastAsia" w:ascii="Times New Roman" w:hAnsi="Times New Roman" w:eastAsia="宋体" w:cs="Times New Roman"/>
          <w:b/>
          <w:color w:val="000000"/>
          <w:kern w:val="0"/>
          <w:sz w:val="24"/>
          <w:szCs w:val="24"/>
          <w:lang w:val="en-US" w:eastAsia="zh-CN" w:bidi="ar"/>
        </w:rPr>
        <w:t>7.1-</w:t>
      </w:r>
      <w:r>
        <w:rPr>
          <w:rFonts w:hint="default" w:ascii="Times New Roman" w:hAnsi="Times New Roman" w:eastAsia="宋体" w:cs="Times New Roman"/>
          <w:b/>
          <w:color w:val="000000"/>
          <w:kern w:val="0"/>
          <w:sz w:val="24"/>
          <w:szCs w:val="24"/>
          <w:lang w:val="en-US" w:eastAsia="zh-CN" w:bidi="ar"/>
        </w:rPr>
        <w:t xml:space="preserve">1 </w:t>
      </w:r>
      <w:r>
        <w:rPr>
          <w:rFonts w:hint="eastAsia" w:ascii="宋体" w:hAnsi="宋体" w:eastAsia="宋体" w:cs="宋体"/>
          <w:b/>
          <w:color w:val="000000"/>
          <w:kern w:val="0"/>
          <w:sz w:val="24"/>
          <w:szCs w:val="24"/>
          <w:lang w:val="en-US" w:eastAsia="zh-CN" w:bidi="ar"/>
        </w:rPr>
        <w:t>现场采样位置、数量及深度</w:t>
      </w:r>
    </w:p>
    <w:tbl>
      <w:tblPr>
        <w:tblStyle w:val="1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2105"/>
        <w:gridCol w:w="1162"/>
        <w:gridCol w:w="1346"/>
        <w:gridCol w:w="1344"/>
        <w:gridCol w:w="18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点位编号</w:t>
            </w:r>
          </w:p>
        </w:tc>
        <w:tc>
          <w:tcPr>
            <w:tcW w:w="117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位置</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点位类型</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采样深度</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样品数量</w:t>
            </w:r>
          </w:p>
        </w:tc>
        <w:tc>
          <w:tcPr>
            <w:tcW w:w="10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经纬度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T1</w:t>
            </w:r>
          </w:p>
        </w:tc>
        <w:tc>
          <w:tcPr>
            <w:tcW w:w="117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0000FF"/>
                <w:kern w:val="0"/>
                <w:sz w:val="21"/>
                <w:szCs w:val="21"/>
                <w:lang w:val="en-US" w:eastAsia="zh-CN"/>
              </w:rPr>
              <w:t>707车间北侧</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121°4′32.996″E, 32°31′54.273″N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D1</w:t>
            </w:r>
          </w:p>
        </w:tc>
        <w:tc>
          <w:tcPr>
            <w:tcW w:w="11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地下水</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T2</w:t>
            </w:r>
          </w:p>
        </w:tc>
        <w:tc>
          <w:tcPr>
            <w:tcW w:w="1179" w:type="pc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702车间东侧</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highlight w:val="none"/>
              </w:rPr>
              <w:t>121°4′38.297″E, 32°31′48.151″N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T3</w:t>
            </w:r>
          </w:p>
        </w:tc>
        <w:tc>
          <w:tcPr>
            <w:tcW w:w="1179"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污水站北侧</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sz w:val="21"/>
                <w:szCs w:val="21"/>
              </w:rPr>
              <w:t>121°4′39.099″E, 32°31′53.133″N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D2</w:t>
            </w:r>
          </w:p>
        </w:tc>
        <w:tc>
          <w:tcPr>
            <w:tcW w:w="1179"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kern w:val="0"/>
                <w:sz w:val="21"/>
                <w:szCs w:val="21"/>
                <w:lang w:val="en-US" w:eastAsia="zh-CN"/>
              </w:rPr>
            </w:pP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地下水</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6m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T4</w:t>
            </w:r>
          </w:p>
        </w:tc>
        <w:tc>
          <w:tcPr>
            <w:tcW w:w="117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RTO旁</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sz w:val="21"/>
                <w:szCs w:val="21"/>
              </w:rPr>
              <w:t>121°4′36.646″E, 32°31′52.018″N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T5</w:t>
            </w:r>
          </w:p>
        </w:tc>
        <w:tc>
          <w:tcPr>
            <w:tcW w:w="1179"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储罐东北角</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sz w:val="21"/>
                <w:szCs w:val="21"/>
              </w:rPr>
              <w:t>121°4′41.995″E, 32°31′50.911″N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D3</w:t>
            </w:r>
          </w:p>
        </w:tc>
        <w:tc>
          <w:tcPr>
            <w:tcW w:w="1179"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kern w:val="0"/>
                <w:sz w:val="21"/>
                <w:szCs w:val="21"/>
                <w:lang w:val="en-US" w:eastAsia="zh-CN"/>
              </w:rPr>
            </w:pP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地下水</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6m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1个</w:t>
            </w:r>
          </w:p>
        </w:tc>
        <w:tc>
          <w:tcPr>
            <w:tcW w:w="105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6</w:t>
            </w:r>
          </w:p>
        </w:tc>
        <w:tc>
          <w:tcPr>
            <w:tcW w:w="117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丙类仓库2北侧</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sz w:val="21"/>
                <w:szCs w:val="21"/>
              </w:rPr>
              <w:t>121°4′44.989″E, 32°31′51.009″N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w:t>
            </w:r>
            <w:r>
              <w:rPr>
                <w:rFonts w:hint="eastAsia" w:ascii="Times New Roman" w:hAnsi="Times New Roman" w:eastAsia="宋体" w:cs="Times New Roman"/>
                <w:color w:val="auto"/>
                <w:sz w:val="21"/>
                <w:szCs w:val="21"/>
                <w:lang w:val="en-US" w:eastAsia="zh-CN"/>
              </w:rPr>
              <w:t>4</w:t>
            </w:r>
          </w:p>
        </w:tc>
        <w:tc>
          <w:tcPr>
            <w:tcW w:w="11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地下水</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6m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7</w:t>
            </w:r>
          </w:p>
        </w:tc>
        <w:tc>
          <w:tcPr>
            <w:tcW w:w="117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rPr>
              <w:t>甲类仓库3南侧</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sz w:val="21"/>
                <w:szCs w:val="21"/>
              </w:rPr>
              <w:t>121°4′45.993″E, 32°31′46.645″N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8</w:t>
            </w:r>
          </w:p>
        </w:tc>
        <w:tc>
          <w:tcPr>
            <w:tcW w:w="117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厂区外东南对照点</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土壤</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0-0.5</w:t>
            </w:r>
            <w:r>
              <w:rPr>
                <w:rFonts w:hint="default" w:ascii="Times New Roman" w:hAnsi="Times New Roman" w:eastAsia="宋体" w:cs="Times New Roman"/>
                <w:color w:val="auto"/>
                <w:sz w:val="21"/>
                <w:szCs w:val="21"/>
                <w:lang w:val="en-US" w:eastAsia="zh-CN"/>
              </w:rPr>
              <w:t>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cs="Times New Roman"/>
                <w:sz w:val="21"/>
                <w:szCs w:val="21"/>
              </w:rPr>
              <w:t>121°4′49.083″E, 32°31′43.616″N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tblHeader/>
          <w:jc w:val="center"/>
        </w:trPr>
        <w:tc>
          <w:tcPr>
            <w:tcW w:w="606"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D5</w:t>
            </w:r>
          </w:p>
        </w:tc>
        <w:tc>
          <w:tcPr>
            <w:tcW w:w="117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地下水</w:t>
            </w:r>
          </w:p>
        </w:tc>
        <w:tc>
          <w:tcPr>
            <w:tcW w:w="754"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6m</w:t>
            </w:r>
          </w:p>
        </w:tc>
        <w:tc>
          <w:tcPr>
            <w:tcW w:w="75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1个</w:t>
            </w:r>
          </w:p>
        </w:tc>
        <w:tc>
          <w:tcPr>
            <w:tcW w:w="105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eastAsia" w:ascii="Times New Roman" w:hAnsi="Times New Roman" w:eastAsia="宋体" w:cs="Times New Roman"/>
                <w:color w:val="auto"/>
                <w:sz w:val="21"/>
                <w:szCs w:val="21"/>
                <w:lang w:val="en-US" w:eastAsia="zh-CN"/>
              </w:rPr>
            </w:pPr>
          </w:p>
        </w:tc>
      </w:tr>
    </w:tbl>
    <w:p>
      <w:pPr>
        <w:pStyle w:val="4"/>
        <w:keepNext/>
        <w:keepLines/>
        <w:pageBreakBefore w:val="0"/>
        <w:widowControl w:val="0"/>
        <w:kinsoku/>
        <w:wordWrap/>
        <w:overflowPunct/>
        <w:topLinePunct w:val="0"/>
        <w:autoSpaceDE/>
        <w:autoSpaceDN/>
        <w:bidi w:val="0"/>
        <w:adjustRightInd/>
        <w:snapToGrid/>
        <w:spacing w:before="0" w:after="0"/>
        <w:textAlignment w:val="auto"/>
        <w:rPr>
          <w:rFonts w:hint="default"/>
          <w:lang w:val="en-US" w:eastAsia="zh-CN"/>
        </w:rPr>
      </w:pPr>
      <w:bookmarkStart w:id="58" w:name="_Toc25576"/>
      <w:r>
        <w:rPr>
          <w:rFonts w:hint="eastAsia"/>
          <w:lang w:val="en-US" w:eastAsia="zh-CN"/>
        </w:rPr>
        <w:t>7.2 采样方法及程序</w:t>
      </w:r>
      <w:bookmarkEnd w:id="58"/>
    </w:p>
    <w:p>
      <w:pPr>
        <w:bidi w:val="0"/>
        <w:spacing w:line="360" w:lineRule="auto"/>
        <w:ind w:firstLine="723" w:firstLineChars="3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1）</w:t>
      </w:r>
      <w:r>
        <w:rPr>
          <w:rFonts w:hint="eastAsia" w:ascii="Times New Roman" w:hAnsi="Times New Roman" w:eastAsia="宋体" w:cs="Times New Roman"/>
          <w:b/>
          <w:bCs/>
          <w:sz w:val="24"/>
          <w:szCs w:val="24"/>
          <w:lang w:val="en-US" w:eastAsia="zh-CN"/>
        </w:rPr>
        <w:t>土壤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根据《土壤环境监测技术规范》（HJ/T 166-2004）中相关采样要求进行土壤样品采集。用于检测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的土壤样品应单独采集，不允许对样品进行均质化处理，也不得采集混合样。取土器将柱状的钻探岩芯取出后，先采集用于检测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的土壤样品，具体流程和要求如下：用刮刀剔除约</w:t>
      </w:r>
      <w:r>
        <w:rPr>
          <w:rFonts w:hint="default" w:ascii="Times New Roman" w:hAnsi="Times New Roman" w:cs="Times New Roman" w:eastAsiaTheme="minorEastAsia"/>
          <w:color w:val="000000"/>
          <w:sz w:val="24"/>
          <w:szCs w:val="20"/>
          <w:lang w:val="en-US" w:eastAsia="zh-CN"/>
        </w:rPr>
        <w:t>1cm~2cm</w:t>
      </w:r>
      <w:r>
        <w:rPr>
          <w:rFonts w:hint="eastAsia" w:ascii="Times New Roman" w:hAnsi="Times New Roman" w:cs="Times New Roman" w:eastAsiaTheme="minorEastAsia"/>
          <w:color w:val="000000"/>
          <w:sz w:val="24"/>
          <w:szCs w:val="20"/>
          <w:lang w:val="en-US" w:eastAsia="zh-CN"/>
        </w:rPr>
        <w:t>表层土壤，在新的土壤切面处快速采集样品。针对检测</w:t>
      </w:r>
      <w:r>
        <w:rPr>
          <w:rFonts w:hint="default" w:ascii="Times New Roman" w:hAnsi="Times New Roman" w:cs="Times New Roman" w:eastAsiaTheme="minorEastAsia"/>
          <w:color w:val="000000"/>
          <w:sz w:val="24"/>
          <w:szCs w:val="20"/>
          <w:lang w:val="en-US" w:eastAsia="zh-CN"/>
        </w:rPr>
        <w:t xml:space="preserve">VOCs </w:t>
      </w:r>
      <w:r>
        <w:rPr>
          <w:rFonts w:hint="eastAsia" w:ascii="Times New Roman" w:hAnsi="Times New Roman" w:cs="Times New Roman" w:eastAsiaTheme="minorEastAsia"/>
          <w:color w:val="000000"/>
          <w:sz w:val="24"/>
          <w:szCs w:val="20"/>
          <w:lang w:val="en-US" w:eastAsia="zh-CN"/>
        </w:rPr>
        <w:t>的土壤样品，应用非扰动采样器采集不少于</w:t>
      </w:r>
      <w:r>
        <w:rPr>
          <w:rFonts w:hint="default" w:ascii="Times New Roman" w:hAnsi="Times New Roman" w:cs="Times New Roman" w:eastAsiaTheme="minorEastAsia"/>
          <w:color w:val="000000"/>
          <w:sz w:val="24"/>
          <w:szCs w:val="20"/>
          <w:lang w:val="en-US" w:eastAsia="zh-CN"/>
        </w:rPr>
        <w:t>5g</w:t>
      </w:r>
      <w:r>
        <w:rPr>
          <w:rFonts w:hint="eastAsia" w:ascii="Times New Roman" w:hAnsi="Times New Roman" w:cs="Times New Roman" w:eastAsiaTheme="minorEastAsia"/>
          <w:color w:val="000000"/>
          <w:sz w:val="24"/>
          <w:szCs w:val="20"/>
          <w:lang w:val="en-US" w:eastAsia="zh-CN"/>
        </w:rPr>
        <w:t>原状岩芯的土壤样品推入加有</w:t>
      </w:r>
      <w:r>
        <w:rPr>
          <w:rFonts w:hint="default" w:ascii="Times New Roman" w:hAnsi="Times New Roman" w:cs="Times New Roman" w:eastAsiaTheme="minorEastAsia"/>
          <w:color w:val="000000"/>
          <w:sz w:val="24"/>
          <w:szCs w:val="20"/>
          <w:lang w:val="en-US" w:eastAsia="zh-CN"/>
        </w:rPr>
        <w:t>10 mL</w:t>
      </w:r>
      <w:r>
        <w:rPr>
          <w:rFonts w:hint="eastAsia" w:ascii="Times New Roman" w:hAnsi="Times New Roman" w:cs="Times New Roman" w:eastAsiaTheme="minorEastAsia"/>
          <w:color w:val="000000"/>
          <w:sz w:val="24"/>
          <w:szCs w:val="20"/>
          <w:lang w:val="en-US" w:eastAsia="zh-CN"/>
        </w:rPr>
        <w:t>甲醇（色谱级或农残级）保护剂的</w:t>
      </w:r>
      <w:r>
        <w:rPr>
          <w:rFonts w:hint="default" w:ascii="Times New Roman" w:hAnsi="Times New Roman" w:cs="Times New Roman" w:eastAsiaTheme="minorEastAsia"/>
          <w:color w:val="000000"/>
          <w:sz w:val="24"/>
          <w:szCs w:val="20"/>
          <w:lang w:val="en-US" w:eastAsia="zh-CN"/>
        </w:rPr>
        <w:t>40 mL</w:t>
      </w:r>
      <w:r>
        <w:rPr>
          <w:rFonts w:hint="eastAsia" w:ascii="Times New Roman" w:hAnsi="Times New Roman" w:cs="Times New Roman" w:eastAsiaTheme="minorEastAsia"/>
          <w:color w:val="000000"/>
          <w:sz w:val="24"/>
          <w:szCs w:val="20"/>
          <w:lang w:val="en-US" w:eastAsia="zh-CN"/>
        </w:rPr>
        <w:t>棕色样品瓶内，推入时将样品瓶略微倾斜，防止将保护剂溅出；检测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的土壤样品应采集双份，一份用于检测，一份留作备份。</w:t>
      </w:r>
    </w:p>
    <w:p>
      <w:pPr>
        <w:bidi w:val="0"/>
        <w:spacing w:line="360" w:lineRule="auto"/>
        <w:ind w:firstLine="480" w:firstLineChars="200"/>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用于检测含水率、重金属、</w:t>
      </w:r>
      <w:r>
        <w:rPr>
          <w:rFonts w:hint="default" w:ascii="Times New Roman" w:hAnsi="Times New Roman" w:cs="Times New Roman" w:eastAsiaTheme="minorEastAsia"/>
          <w:color w:val="000000"/>
          <w:sz w:val="24"/>
          <w:szCs w:val="20"/>
          <w:lang w:val="en-US" w:eastAsia="zh-CN"/>
        </w:rPr>
        <w:t>SVOCs</w:t>
      </w:r>
      <w:r>
        <w:rPr>
          <w:rFonts w:hint="eastAsia" w:ascii="Times New Roman" w:hAnsi="Times New Roman" w:cs="Times New Roman" w:eastAsiaTheme="minorEastAsia"/>
          <w:color w:val="000000"/>
          <w:sz w:val="24"/>
          <w:szCs w:val="20"/>
          <w:lang w:val="en-US" w:eastAsia="zh-CN"/>
        </w:rPr>
        <w:t>等指标的土壤样品，可用采样铲将土壤转移至广口样品瓶内并装满填实。采样过程应剔除石块等杂质，保持采样瓶口螺纹清洁以防止密 封不严。土壤装入样品瓶后，</w:t>
      </w:r>
      <w:r>
        <w:rPr>
          <w:rFonts w:hint="eastAsia" w:ascii="Times New Roman" w:hAnsi="Times New Roman" w:cs="Times New Roman"/>
          <w:color w:val="000000"/>
          <w:sz w:val="24"/>
          <w:szCs w:val="20"/>
          <w:lang w:val="en-US" w:eastAsia="zh-CN"/>
        </w:rPr>
        <w:t>及时贴上相应的土壤样品标签</w:t>
      </w:r>
      <w:r>
        <w:rPr>
          <w:rFonts w:hint="eastAsia" w:ascii="Times New Roman" w:hAnsi="Times New Roman" w:cs="Times New Roman" w:eastAsiaTheme="minorEastAsia"/>
          <w:color w:val="000000"/>
          <w:sz w:val="24"/>
          <w:szCs w:val="20"/>
          <w:lang w:val="en-US" w:eastAsia="zh-CN"/>
        </w:rPr>
        <w:t>。为了防止样品瓶上编码信息丢失，应同时在样品瓶原有标签上手写样品编码和采样日期，要求字迹清晰可辨。土壤采样完成后，样品瓶需用泡沫塑料袋包裹，随即放入现场带有冷冻蓝冰的样品箱内进行临时保存。</w:t>
      </w:r>
    </w:p>
    <w:p>
      <w:pPr>
        <w:pStyle w:val="2"/>
        <w:numPr>
          <w:ilvl w:val="0"/>
          <w:numId w:val="2"/>
        </w:numPr>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地下水</w:t>
      </w:r>
    </w:p>
    <w:p>
      <w:p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 xml:space="preserve">地下水监测井的建设和采样根据《地下水环境监测技术规范》（HJ 164- 2020）、《建设用地土壤污染状况调查技术导则》（HJ 25.1-2019）、《建设用地土壤污染风险管控和修复监测技术导则》（HJ 25.2-2019）和《地块土壤和地下水中挥发性有机物采样技术导则》（HJ 1019-2019）等文件要求执行。 </w:t>
      </w:r>
    </w:p>
    <w:p>
      <w:pPr>
        <w:adjustRightInd w:val="0"/>
        <w:snapToGrid w:val="0"/>
        <w:spacing w:line="360" w:lineRule="auto"/>
        <w:ind w:firstLine="482" w:firstLineChars="200"/>
        <w:rPr>
          <w:rFonts w:hint="eastAsia" w:ascii="Times New Roman" w:hAnsi="Times New Roman" w:cs="Times New Roman" w:eastAsiaTheme="minorEastAsia"/>
          <w:b/>
          <w:bCs/>
          <w:color w:val="000000"/>
          <w:sz w:val="24"/>
          <w:szCs w:val="20"/>
          <w:lang w:val="en-US" w:eastAsia="zh-CN"/>
        </w:rPr>
      </w:pPr>
      <w:r>
        <w:rPr>
          <w:rFonts w:hint="eastAsia" w:ascii="Times New Roman" w:hAnsi="Times New Roman" w:cs="Times New Roman"/>
          <w:b/>
          <w:bCs/>
          <w:color w:val="000000"/>
          <w:sz w:val="24"/>
          <w:szCs w:val="20"/>
          <w:lang w:val="en-US" w:eastAsia="zh-CN"/>
        </w:rPr>
        <w:t>建井：</w:t>
      </w:r>
    </w:p>
    <w:p>
      <w:pPr>
        <w:numPr>
          <w:ilvl w:val="0"/>
          <w:numId w:val="3"/>
        </w:num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 xml:space="preserve">井管设计本次地下水采样井井管选用内径为50 mm的硬聚氯乙稀（UPVC），井管连接采用螺纹进行连接，并避免连接处发生渗漏。井管连接后，各 井管轴心线应保持一致。 </w:t>
      </w:r>
    </w:p>
    <w:p>
      <w:pPr>
        <w:numPr>
          <w:ilvl w:val="0"/>
          <w:numId w:val="3"/>
        </w:numPr>
        <w:adjustRightInd w:val="0"/>
        <w:snapToGrid w:val="0"/>
        <w:spacing w:line="360" w:lineRule="auto"/>
        <w:ind w:firstLine="480" w:firstLineChars="200"/>
        <w:rPr>
          <w:rFonts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滤水管设计</w:t>
      </w:r>
    </w:p>
    <w:p>
      <w:p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 xml:space="preserve">本次工作选用滤水管的型号、材质等选择均与井管匹配，具体设计要求如下：内径50mm，选用缝宽为0.2-0.3mm的割缝筛管，由于地下水稳定埋深位置在1.63m，故井管开筛位置设置在1.0m，井管底部1.0~5.5m为滤水管，滤水管上端高于潜水位面，滤水管下端低于潜水位面，滤水管外以细铁丝包裹和固定2~3层的80目尼龙网。井管底部可置50cm沉淀管，滤水管底部必须用管堵密封。 </w:t>
      </w:r>
    </w:p>
    <w:p>
      <w:p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（三）填料设计本次工作地下水采样井填料从下至上依次为滤料层、止水层、回填层，各层填料要求如下：</w:t>
      </w:r>
    </w:p>
    <w:p>
      <w:p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 xml:space="preserve">（1）滤料层从沉淀管（或管堵）底部一定距离到滤水管顶部以上50cm。滤料层材料选择球度与圆度好、无污染的1mm~2 mm粒径的石英砂颗粒，使用前应经过筛选和清洗，避免影响地下水水质。 </w:t>
      </w:r>
    </w:p>
    <w:p>
      <w:p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 xml:space="preserve">（2）止水层主要用于防止滤料层以上的外来水通过滤料层进入井内。止水部位根据钻孔含水层的分布情况确定，一般选择在隔水层或弱透水层处。止水层的填充高度初步设置为达到滤料层以上50cm。为了保证止水效果，选用直径20mm~40mm球状膨润土进行填充。 </w:t>
      </w:r>
    </w:p>
    <w:p>
      <w:p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3）回填层位于止水层之上至采样井顶部，根据场地条件选择合适的回填材料。优先选用膨润土作为回填材料，当地下水含有可能导致膨润土水化不良的成分时，拟选择混凝土浆作为回填材料。当使用混凝土浆作为回填材料时，为延缓固化时间，在混凝土浆中添加5%~10%的膨润土。监测井钻孔记录及监测井安装简图。潜水观测井剖面图示例见图</w:t>
      </w:r>
      <w:r>
        <w:rPr>
          <w:rFonts w:hint="eastAsia" w:ascii="Times New Roman" w:hAnsi="Times New Roman" w:cs="Times New Roman"/>
          <w:color w:val="000000"/>
          <w:sz w:val="24"/>
          <w:szCs w:val="20"/>
          <w:lang w:val="en-US" w:eastAsia="zh-CN"/>
        </w:rPr>
        <w:t>7.2</w:t>
      </w:r>
      <w:r>
        <w:rPr>
          <w:rFonts w:hint="eastAsia" w:ascii="Times New Roman" w:hAnsi="Times New Roman" w:cs="Times New Roman" w:eastAsiaTheme="minorEastAsia"/>
          <w:color w:val="000000"/>
          <w:sz w:val="24"/>
          <w:szCs w:val="20"/>
        </w:rPr>
        <w:t>-1。</w:t>
      </w:r>
    </w:p>
    <w:p>
      <w:pPr>
        <w:pStyle w:val="20"/>
        <w:jc w:val="center"/>
      </w:pPr>
      <w:r>
        <w:drawing>
          <wp:inline distT="0" distB="0" distL="114300" distR="114300">
            <wp:extent cx="1253490" cy="3925570"/>
            <wp:effectExtent l="0" t="0" r="3810" b="1778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22"/>
                    <a:stretch>
                      <a:fillRect/>
                    </a:stretch>
                  </pic:blipFill>
                  <pic:spPr>
                    <a:xfrm>
                      <a:off x="0" y="0"/>
                      <a:ext cx="1253490" cy="3925570"/>
                    </a:xfrm>
                    <a:prstGeom prst="rect">
                      <a:avLst/>
                    </a:prstGeom>
                    <a:noFill/>
                    <a:ln>
                      <a:noFill/>
                    </a:ln>
                  </pic:spPr>
                </pic:pic>
              </a:graphicData>
            </a:graphic>
          </wp:inline>
        </w:drawing>
      </w:r>
    </w:p>
    <w:p>
      <w:pPr>
        <w:spacing w:line="460" w:lineRule="exact"/>
        <w:ind w:firstLine="482" w:firstLineChars="200"/>
        <w:jc w:val="center"/>
        <w:rPr>
          <w:rFonts w:hint="default" w:asciiTheme="minorEastAsia" w:hAnsiTheme="minorEastAsia" w:cstheme="minorEastAsia"/>
          <w:b/>
          <w:bCs/>
          <w:color w:val="auto"/>
          <w:sz w:val="24"/>
          <w:szCs w:val="24"/>
          <w:lang w:val="en-US" w:eastAsia="zh-CN"/>
        </w:rPr>
      </w:pPr>
      <w:r>
        <w:rPr>
          <w:rFonts w:hint="default" w:ascii="Times New Roman" w:hAnsi="Times New Roman" w:cs="Times New Roman"/>
          <w:b/>
          <w:bCs/>
          <w:color w:val="auto"/>
          <w:sz w:val="24"/>
          <w:szCs w:val="24"/>
          <w:lang w:val="en-US" w:eastAsia="zh-CN"/>
        </w:rPr>
        <w:t>图7.2-1建井</w:t>
      </w:r>
      <w:r>
        <w:rPr>
          <w:rFonts w:hint="eastAsia" w:asciiTheme="minorEastAsia" w:hAnsiTheme="minorEastAsia" w:cstheme="minorEastAsia"/>
          <w:b/>
          <w:bCs/>
          <w:color w:val="auto"/>
          <w:sz w:val="24"/>
          <w:szCs w:val="24"/>
          <w:lang w:val="en-US" w:eastAsia="zh-CN"/>
        </w:rPr>
        <w:t>示意图</w:t>
      </w:r>
    </w:p>
    <w:p>
      <w:pPr>
        <w:pStyle w:val="20"/>
        <w:rPr>
          <w:rFonts w:hint="eastAsia" w:ascii="Times New Roman" w:hAnsi="Times New Roman" w:cs="Times New Roman" w:eastAsiaTheme="minorEastAsia"/>
          <w:color w:val="000000"/>
          <w:sz w:val="24"/>
          <w:szCs w:val="20"/>
        </w:rPr>
      </w:pPr>
    </w:p>
    <w:p>
      <w:pPr>
        <w:pStyle w:val="20"/>
        <w:rPr>
          <w:rFonts w:hint="eastAsia" w:ascii="Times New Roman" w:hAnsi="Times New Roman" w:cs="Times New Roman" w:eastAsiaTheme="minorEastAsia"/>
          <w:color w:val="000000"/>
          <w:sz w:val="24"/>
          <w:szCs w:val="20"/>
        </w:rPr>
      </w:pPr>
    </w:p>
    <w:p>
      <w:pPr>
        <w:adjustRightInd w:val="0"/>
        <w:snapToGrid w:val="0"/>
        <w:spacing w:line="360" w:lineRule="auto"/>
        <w:ind w:firstLine="482" w:firstLineChars="200"/>
        <w:rPr>
          <w:rFonts w:hint="eastAsia" w:ascii="Times New Roman" w:hAnsi="Times New Roman" w:cs="Times New Roman"/>
          <w:b/>
          <w:bCs/>
          <w:color w:val="000000"/>
          <w:sz w:val="24"/>
          <w:szCs w:val="20"/>
          <w:lang w:val="en-US" w:eastAsia="zh-CN"/>
        </w:rPr>
      </w:pPr>
      <w:r>
        <w:rPr>
          <w:rFonts w:hint="eastAsia" w:ascii="Times New Roman" w:hAnsi="Times New Roman" w:cs="Times New Roman"/>
          <w:b/>
          <w:bCs/>
          <w:color w:val="000000"/>
          <w:sz w:val="24"/>
          <w:szCs w:val="20"/>
          <w:lang w:val="en-US" w:eastAsia="zh-CN"/>
        </w:rPr>
        <w:t>洗井：</w:t>
      </w:r>
    </w:p>
    <w:p>
      <w:pPr>
        <w:adjustRightInd w:val="0"/>
        <w:snapToGrid w:val="0"/>
        <w:spacing w:line="360" w:lineRule="auto"/>
        <w:ind w:firstLine="480" w:firstLineChars="200"/>
        <w:rPr>
          <w:rFonts w:hint="eastAsia" w:ascii="Times New Roman" w:hAnsi="Times New Roman" w:cs="Times New Roman" w:eastAsiaTheme="minorEastAsia"/>
          <w:b w:val="0"/>
          <w:bCs w:val="0"/>
          <w:color w:val="000000"/>
          <w:kern w:val="2"/>
          <w:sz w:val="24"/>
          <w:szCs w:val="20"/>
          <w:lang w:val="en-US" w:eastAsia="zh-CN" w:bidi="ar-SA"/>
        </w:rPr>
      </w:pPr>
      <w:r>
        <w:rPr>
          <w:rFonts w:hint="eastAsia" w:ascii="Times New Roman" w:hAnsi="Times New Roman" w:cs="Times New Roman"/>
          <w:b w:val="0"/>
          <w:bCs w:val="0"/>
          <w:color w:val="000000"/>
          <w:kern w:val="2"/>
          <w:sz w:val="24"/>
          <w:szCs w:val="20"/>
          <w:lang w:val="en-US" w:eastAsia="zh-CN" w:bidi="ar-SA"/>
        </w:rPr>
        <w:t>（一）</w:t>
      </w:r>
      <w:r>
        <w:rPr>
          <w:rFonts w:hint="eastAsia" w:ascii="Times New Roman" w:hAnsi="Times New Roman" w:cs="Times New Roman" w:eastAsiaTheme="minorEastAsia"/>
          <w:b w:val="0"/>
          <w:bCs w:val="0"/>
          <w:color w:val="000000"/>
          <w:kern w:val="2"/>
          <w:sz w:val="24"/>
          <w:szCs w:val="20"/>
          <w:lang w:val="en-US" w:eastAsia="zh-CN" w:bidi="ar-SA"/>
        </w:rPr>
        <w:t xml:space="preserve">成井洗井 </w:t>
      </w:r>
    </w:p>
    <w:p>
      <w:pPr>
        <w:adjustRightInd w:val="0"/>
        <w:snapToGrid w:val="0"/>
        <w:spacing w:line="360" w:lineRule="auto"/>
        <w:ind w:firstLine="480" w:firstLineChars="200"/>
        <w:rPr>
          <w:rFonts w:hint="eastAsia" w:ascii="Times New Roman" w:hAnsi="Times New Roman" w:cs="Times New Roman" w:eastAsiaTheme="minorEastAsia"/>
          <w:b w:val="0"/>
          <w:bCs w:val="0"/>
          <w:color w:val="000000"/>
          <w:kern w:val="2"/>
          <w:sz w:val="24"/>
          <w:szCs w:val="20"/>
          <w:lang w:val="en-US" w:eastAsia="zh-CN" w:bidi="ar-SA"/>
        </w:rPr>
      </w:pPr>
      <w:r>
        <w:rPr>
          <w:rFonts w:hint="eastAsia" w:ascii="Times New Roman" w:hAnsi="Times New Roman" w:cs="Times New Roman" w:eastAsiaTheme="minorEastAsia"/>
          <w:b w:val="0"/>
          <w:bCs w:val="0"/>
          <w:color w:val="000000"/>
          <w:kern w:val="2"/>
          <w:sz w:val="24"/>
          <w:szCs w:val="20"/>
          <w:lang w:val="en-US" w:eastAsia="zh-CN" w:bidi="ar-SA"/>
        </w:rPr>
        <w:t>在监测井安装完成后24小时后进行成井洗井，以清除监测井内初次渗出来的地下水中夹杂的混浊物，同时也可以提高监测区周围的地下水与监测井之间的水力联系。洗井所用的工具为</w:t>
      </w:r>
      <w:r>
        <w:rPr>
          <w:rFonts w:hint="default" w:ascii="Times New Roman" w:hAnsi="Times New Roman" w:cs="Times New Roman" w:eastAsiaTheme="minorEastAsia"/>
          <w:b w:val="0"/>
          <w:bCs w:val="0"/>
          <w:color w:val="000000"/>
          <w:kern w:val="2"/>
          <w:sz w:val="24"/>
          <w:szCs w:val="20"/>
          <w:lang w:val="en-US" w:eastAsia="zh-CN" w:bidi="ar-SA"/>
        </w:rPr>
        <w:t>贝勒管</w:t>
      </w:r>
      <w:r>
        <w:rPr>
          <w:rFonts w:hint="eastAsia" w:ascii="Times New Roman" w:hAnsi="Times New Roman" w:cs="Times New Roman" w:eastAsiaTheme="minorEastAsia"/>
          <w:b w:val="0"/>
          <w:bCs w:val="0"/>
          <w:color w:val="000000"/>
          <w:kern w:val="2"/>
          <w:sz w:val="24"/>
          <w:szCs w:val="20"/>
          <w:lang w:val="en-US" w:eastAsia="zh-CN" w:bidi="ar-SA"/>
        </w:rPr>
        <w:t>。洗井时所需抽出的水量，应大于监测井总容积的3倍。</w:t>
      </w:r>
    </w:p>
    <w:p>
      <w:pPr>
        <w:pStyle w:val="28"/>
        <w:rPr>
          <w:rFonts w:hint="default" w:ascii="Times New Roman" w:hAnsi="Times New Roman" w:cs="Times New Roman" w:eastAsiaTheme="minorEastAsia"/>
          <w:b w:val="0"/>
          <w:bCs w:val="0"/>
          <w:color w:val="000000"/>
          <w:kern w:val="2"/>
          <w:sz w:val="24"/>
          <w:szCs w:val="20"/>
          <w:lang w:val="en-US" w:eastAsia="zh-CN" w:bidi="ar-SA"/>
        </w:rPr>
      </w:pPr>
      <w:r>
        <w:rPr>
          <w:rFonts w:hint="eastAsia" w:ascii="Times New Roman" w:hAnsi="Times New Roman" w:cs="Times New Roman"/>
          <w:b w:val="0"/>
          <w:bCs w:val="0"/>
          <w:color w:val="000000"/>
          <w:kern w:val="2"/>
          <w:sz w:val="24"/>
          <w:szCs w:val="20"/>
          <w:lang w:val="en-US" w:eastAsia="zh-CN" w:bidi="ar-SA"/>
        </w:rPr>
        <w:t>（二）</w:t>
      </w:r>
      <w:r>
        <w:rPr>
          <w:rFonts w:hint="default" w:ascii="Times New Roman" w:hAnsi="Times New Roman" w:cs="Times New Roman" w:eastAsiaTheme="minorEastAsia"/>
          <w:b w:val="0"/>
          <w:bCs w:val="0"/>
          <w:color w:val="000000"/>
          <w:kern w:val="2"/>
          <w:sz w:val="24"/>
          <w:szCs w:val="20"/>
          <w:lang w:val="en-US" w:eastAsia="zh-CN" w:bidi="ar-SA"/>
        </w:rPr>
        <w:t xml:space="preserve">采样前洗井 </w:t>
      </w:r>
    </w:p>
    <w:p>
      <w:pPr>
        <w:pStyle w:val="28"/>
        <w:rPr>
          <w:rFonts w:hint="default" w:ascii="Times New Roman" w:hAnsi="Times New Roman" w:cs="Times New Roman" w:eastAsiaTheme="minorEastAsia"/>
          <w:b w:val="0"/>
          <w:bCs w:val="0"/>
          <w:color w:val="000000"/>
          <w:kern w:val="2"/>
          <w:sz w:val="24"/>
          <w:szCs w:val="20"/>
          <w:lang w:val="en-US" w:eastAsia="zh-CN" w:bidi="ar-SA"/>
        </w:rPr>
      </w:pPr>
      <w:r>
        <w:rPr>
          <w:rFonts w:hint="default" w:ascii="Times New Roman" w:hAnsi="Times New Roman" w:cs="Times New Roman" w:eastAsiaTheme="minorEastAsia"/>
          <w:b w:val="0"/>
          <w:bCs w:val="0"/>
          <w:color w:val="000000"/>
          <w:kern w:val="2"/>
          <w:sz w:val="24"/>
          <w:szCs w:val="20"/>
          <w:lang w:val="en-US" w:eastAsia="zh-CN" w:bidi="ar-SA"/>
        </w:rPr>
        <w:t>样品采集前将进行洗井，采样前洗井在成井洗井24h后开始。采用带出水阀贝勒管深水井采样器进行采样，洗井操作流程如下：</w:t>
      </w:r>
    </w:p>
    <w:p>
      <w:pPr>
        <w:pStyle w:val="28"/>
        <w:numPr>
          <w:ilvl w:val="0"/>
          <w:numId w:val="4"/>
        </w:numPr>
        <w:rPr>
          <w:rFonts w:hint="default" w:ascii="Times New Roman" w:hAnsi="Times New Roman" w:cs="Times New Roman" w:eastAsiaTheme="minorEastAsia"/>
          <w:b w:val="0"/>
          <w:bCs w:val="0"/>
          <w:color w:val="000000"/>
          <w:kern w:val="2"/>
          <w:sz w:val="24"/>
          <w:szCs w:val="20"/>
          <w:lang w:val="en-US" w:eastAsia="zh-CN" w:bidi="ar-SA"/>
        </w:rPr>
      </w:pPr>
      <w:r>
        <w:rPr>
          <w:rFonts w:hint="eastAsia" w:cs="Times New Roman" w:eastAsiaTheme="minorEastAsia"/>
          <w:color w:val="000000"/>
          <w:sz w:val="24"/>
          <w:szCs w:val="20"/>
          <w:lang w:val="en-US" w:eastAsia="zh-CN"/>
        </w:rPr>
        <w:t>洗井</w:t>
      </w:r>
      <w:r>
        <w:rPr>
          <w:rFonts w:ascii="Times New Roman" w:hAnsi="Times New Roman" w:cs="Times New Roman" w:eastAsiaTheme="minorEastAsia"/>
          <w:color w:val="000000"/>
          <w:sz w:val="24"/>
          <w:szCs w:val="20"/>
        </w:rPr>
        <w:t>使用一次性贝勒管，一井一管一绳。</w:t>
      </w:r>
    </w:p>
    <w:p>
      <w:pPr>
        <w:pStyle w:val="28"/>
        <w:numPr>
          <w:ilvl w:val="0"/>
          <w:numId w:val="4"/>
        </w:numPr>
        <w:rPr>
          <w:rFonts w:hint="default" w:ascii="Times New Roman" w:hAnsi="Times New Roman" w:cs="Times New Roman" w:eastAsiaTheme="minorEastAsia"/>
          <w:b w:val="0"/>
          <w:bCs w:val="0"/>
          <w:color w:val="000000"/>
          <w:kern w:val="2"/>
          <w:sz w:val="24"/>
          <w:szCs w:val="20"/>
          <w:lang w:val="en-US" w:eastAsia="zh-CN" w:bidi="ar-SA"/>
        </w:rPr>
      </w:pPr>
      <w:r>
        <w:rPr>
          <w:rFonts w:hint="eastAsia" w:cs="Times New Roman" w:eastAsiaTheme="minorEastAsia"/>
          <w:b w:val="0"/>
          <w:bCs w:val="0"/>
          <w:color w:val="000000"/>
          <w:kern w:val="2"/>
          <w:sz w:val="24"/>
          <w:szCs w:val="20"/>
          <w:lang w:val="en-US" w:eastAsia="zh-CN" w:bidi="ar-SA"/>
        </w:rPr>
        <w:t>将管中</w:t>
      </w:r>
      <w:r>
        <w:rPr>
          <w:rFonts w:hint="default" w:ascii="Times New Roman" w:hAnsi="Times New Roman" w:cs="Times New Roman" w:eastAsiaTheme="minorEastAsia"/>
          <w:b w:val="0"/>
          <w:bCs w:val="0"/>
          <w:color w:val="000000"/>
          <w:kern w:val="2"/>
          <w:sz w:val="24"/>
          <w:szCs w:val="20"/>
          <w:lang w:val="en-US" w:eastAsia="zh-CN" w:bidi="ar-SA"/>
        </w:rPr>
        <w:t>水样</w:t>
      </w:r>
      <w:r>
        <w:rPr>
          <w:rFonts w:hint="eastAsia" w:cs="Times New Roman" w:eastAsiaTheme="minorEastAsia"/>
          <w:b w:val="0"/>
          <w:bCs w:val="0"/>
          <w:color w:val="000000"/>
          <w:kern w:val="2"/>
          <w:sz w:val="24"/>
          <w:szCs w:val="20"/>
          <w:lang w:val="en-US" w:eastAsia="zh-CN" w:bidi="ar-SA"/>
        </w:rPr>
        <w:t>倒入</w:t>
      </w:r>
      <w:r>
        <w:rPr>
          <w:rFonts w:hint="default" w:ascii="Times New Roman" w:hAnsi="Times New Roman" w:cs="Times New Roman" w:eastAsiaTheme="minorEastAsia"/>
          <w:b w:val="0"/>
          <w:bCs w:val="0"/>
          <w:color w:val="000000"/>
          <w:kern w:val="2"/>
          <w:sz w:val="24"/>
          <w:szCs w:val="20"/>
          <w:lang w:val="en-US" w:eastAsia="zh-CN" w:bidi="ar-SA"/>
        </w:rPr>
        <w:t>水桶，</w:t>
      </w:r>
      <w:r>
        <w:rPr>
          <w:rFonts w:hint="eastAsia" w:cs="Times New Roman" w:eastAsiaTheme="minorEastAsia"/>
          <w:b w:val="0"/>
          <w:bCs w:val="0"/>
          <w:color w:val="000000"/>
          <w:kern w:val="2"/>
          <w:sz w:val="24"/>
          <w:szCs w:val="20"/>
          <w:lang w:val="en-US" w:eastAsia="zh-CN" w:bidi="ar-SA"/>
        </w:rPr>
        <w:t>用</w:t>
      </w:r>
      <w:r>
        <w:rPr>
          <w:rFonts w:hint="default" w:ascii="Times New Roman" w:hAnsi="Times New Roman" w:cs="Times New Roman" w:eastAsiaTheme="minorEastAsia"/>
          <w:b w:val="0"/>
          <w:bCs w:val="0"/>
          <w:color w:val="000000"/>
          <w:kern w:val="2"/>
          <w:sz w:val="24"/>
          <w:szCs w:val="20"/>
          <w:lang w:val="en-US" w:eastAsia="zh-CN" w:bidi="ar-SA"/>
        </w:rPr>
        <w:t xml:space="preserve">以计算总的洗井体积； </w:t>
      </w:r>
    </w:p>
    <w:p>
      <w:pPr>
        <w:pStyle w:val="28"/>
        <w:numPr>
          <w:ilvl w:val="0"/>
          <w:numId w:val="4"/>
        </w:numPr>
        <w:rPr>
          <w:rFonts w:hint="default" w:ascii="Times New Roman" w:hAnsi="Times New Roman" w:cs="Times New Roman" w:eastAsiaTheme="minorEastAsia"/>
          <w:b w:val="0"/>
          <w:bCs w:val="0"/>
          <w:color w:val="000000"/>
          <w:kern w:val="2"/>
          <w:sz w:val="24"/>
          <w:szCs w:val="20"/>
          <w:lang w:val="en-US" w:eastAsia="zh-CN" w:bidi="ar-SA"/>
        </w:rPr>
      </w:pPr>
      <w:r>
        <w:rPr>
          <w:rFonts w:hint="default" w:ascii="Times New Roman" w:hAnsi="Times New Roman" w:cs="Times New Roman" w:eastAsiaTheme="minorEastAsia"/>
          <w:b w:val="0"/>
          <w:bCs w:val="0"/>
          <w:color w:val="000000"/>
          <w:kern w:val="2"/>
          <w:sz w:val="24"/>
          <w:szCs w:val="20"/>
          <w:lang w:val="en-US" w:eastAsia="zh-CN" w:bidi="ar-SA"/>
        </w:rPr>
        <w:t>继续洗井，直至达到3倍井体积的水量；</w:t>
      </w:r>
    </w:p>
    <w:p>
      <w:pPr>
        <w:pStyle w:val="28"/>
        <w:numPr>
          <w:ilvl w:val="0"/>
          <w:numId w:val="4"/>
        </w:numPr>
        <w:rPr>
          <w:rFonts w:hint="default" w:ascii="Times New Roman" w:hAnsi="Times New Roman" w:cs="Times New Roman" w:eastAsiaTheme="minorEastAsia"/>
          <w:b w:val="0"/>
          <w:bCs w:val="0"/>
          <w:color w:val="000000"/>
          <w:kern w:val="2"/>
          <w:sz w:val="24"/>
          <w:szCs w:val="20"/>
          <w:lang w:val="en-US" w:eastAsia="zh-CN" w:bidi="ar-SA"/>
        </w:rPr>
      </w:pPr>
      <w:r>
        <w:rPr>
          <w:rFonts w:hint="default" w:ascii="Times New Roman" w:hAnsi="Times New Roman" w:cs="Times New Roman" w:eastAsiaTheme="minorEastAsia"/>
          <w:b w:val="0"/>
          <w:bCs w:val="0"/>
          <w:color w:val="000000"/>
          <w:kern w:val="2"/>
          <w:sz w:val="24"/>
          <w:szCs w:val="20"/>
          <w:lang w:val="en-US" w:eastAsia="zh-CN" w:bidi="ar-SA"/>
        </w:rPr>
        <w:t>采用多参数水质分析仪，每10min监测水质指标，直至稳定；稳定标准：pH变化在±0.1以内；温度变化在±0.5ºC以内；电导率变化在±10%以内；氧化还原电位变化在±10%以内，或在±10mV以内；溶解氧变化在±10%以内，或在±0.3mg/L以内；浊度&gt;10NTU时，变化在±10%以内或浊度&lt;10NTU；</w:t>
      </w:r>
    </w:p>
    <w:p>
      <w:pPr>
        <w:pStyle w:val="28"/>
        <w:numPr>
          <w:ilvl w:val="0"/>
          <w:numId w:val="4"/>
        </w:numPr>
        <w:rPr>
          <w:rFonts w:hint="default" w:ascii="Times New Roman" w:hAnsi="Times New Roman" w:cs="Times New Roman" w:eastAsiaTheme="minorEastAsia"/>
          <w:b w:val="0"/>
          <w:bCs w:val="0"/>
          <w:color w:val="000000"/>
          <w:kern w:val="2"/>
          <w:sz w:val="24"/>
          <w:szCs w:val="20"/>
          <w:lang w:val="en-US" w:eastAsia="zh-CN" w:bidi="ar-SA"/>
        </w:rPr>
      </w:pPr>
      <w:r>
        <w:rPr>
          <w:rFonts w:hint="default" w:ascii="Times New Roman" w:hAnsi="Times New Roman" w:cs="Times New Roman" w:eastAsiaTheme="minorEastAsia"/>
          <w:b w:val="0"/>
          <w:bCs w:val="0"/>
          <w:color w:val="000000"/>
          <w:kern w:val="2"/>
          <w:sz w:val="24"/>
          <w:szCs w:val="20"/>
          <w:lang w:val="en-US" w:eastAsia="zh-CN" w:bidi="ar-SA"/>
        </w:rPr>
        <w:t>若洗井水量达到3~5倍井体积后，水质指标仍不能达到稳定标准，可结束洗井。</w:t>
      </w:r>
    </w:p>
    <w:p>
      <w:pPr>
        <w:adjustRightInd w:val="0"/>
        <w:snapToGrid w:val="0"/>
        <w:spacing w:line="360" w:lineRule="auto"/>
        <w:ind w:firstLine="482" w:firstLineChars="200"/>
        <w:rPr>
          <w:rFonts w:hint="eastAsia" w:ascii="Times New Roman" w:hAnsi="Times New Roman" w:cs="Times New Roman"/>
          <w:b/>
          <w:bCs/>
          <w:color w:val="000000"/>
          <w:sz w:val="24"/>
          <w:szCs w:val="20"/>
          <w:lang w:val="en-US" w:eastAsia="zh-CN"/>
        </w:rPr>
      </w:pPr>
      <w:r>
        <w:rPr>
          <w:rFonts w:hint="eastAsia" w:ascii="Times New Roman" w:hAnsi="Times New Roman" w:cs="Times New Roman"/>
          <w:b/>
          <w:bCs/>
          <w:color w:val="000000"/>
          <w:sz w:val="24"/>
          <w:szCs w:val="20"/>
          <w:lang w:val="en-US" w:eastAsia="zh-CN"/>
        </w:rPr>
        <w:t>地下水采样：</w:t>
      </w:r>
    </w:p>
    <w:p>
      <w:pPr>
        <w:adjustRightInd w:val="0"/>
        <w:snapToGrid w:val="0"/>
        <w:spacing w:line="360" w:lineRule="auto"/>
        <w:ind w:firstLine="480" w:firstLineChars="200"/>
        <w:rPr>
          <w:rFonts w:hint="eastAsia" w:ascii="Times New Roman" w:hAnsi="Times New Roman" w:cs="Times New Roman" w:eastAsiaTheme="minorEastAsia"/>
          <w:color w:val="000000"/>
          <w:sz w:val="24"/>
          <w:szCs w:val="20"/>
        </w:rPr>
      </w:pPr>
      <w:r>
        <w:rPr>
          <w:rFonts w:hint="eastAsia" w:ascii="Times New Roman" w:hAnsi="Times New Roman" w:cs="Times New Roman" w:eastAsiaTheme="minorEastAsia"/>
          <w:color w:val="000000"/>
          <w:sz w:val="24"/>
          <w:szCs w:val="20"/>
        </w:rPr>
        <w:t>在监测井洗井稳定后2个小时内，对监测井进行地下水采样。为避免监测井中的地下水发生混浊，</w:t>
      </w:r>
      <w:r>
        <w:rPr>
          <w:rFonts w:hint="eastAsia" w:ascii="Times New Roman" w:hAnsi="Times New Roman" w:cs="Times New Roman" w:eastAsiaTheme="minorEastAsia"/>
          <w:color w:val="000000"/>
          <w:sz w:val="24"/>
          <w:szCs w:val="20"/>
          <w:lang w:val="en-US" w:eastAsia="zh-CN"/>
        </w:rPr>
        <w:t>贝勒管</w:t>
      </w:r>
      <w:r>
        <w:rPr>
          <w:rFonts w:hint="eastAsia" w:ascii="Times New Roman" w:hAnsi="Times New Roman" w:cs="Times New Roman" w:eastAsiaTheme="minorEastAsia"/>
          <w:color w:val="000000"/>
          <w:sz w:val="24"/>
          <w:szCs w:val="20"/>
        </w:rPr>
        <w:t>放入和提起均需缓慢轻放。</w:t>
      </w:r>
      <w:r>
        <w:rPr>
          <w:rFonts w:hint="eastAsia" w:ascii="Times New Roman" w:hAnsi="Times New Roman" w:cs="Times New Roman" w:eastAsiaTheme="minorEastAsia"/>
          <w:color w:val="000000"/>
          <w:sz w:val="24"/>
          <w:szCs w:val="20"/>
          <w:lang w:val="en-US" w:eastAsia="zh-CN"/>
        </w:rPr>
        <w:t>采样</w:t>
      </w:r>
      <w:r>
        <w:rPr>
          <w:rFonts w:ascii="Times New Roman" w:hAnsi="Times New Roman" w:cs="Times New Roman" w:eastAsiaTheme="minorEastAsia"/>
          <w:color w:val="000000"/>
          <w:sz w:val="24"/>
          <w:szCs w:val="20"/>
        </w:rPr>
        <w:t>使用一次性贝勒管，一井一管一绳</w:t>
      </w:r>
      <w:r>
        <w:rPr>
          <w:rFonts w:hint="eastAsia" w:ascii="Times New Roman" w:hAnsi="Times New Roman" w:cs="Times New Roman" w:eastAsiaTheme="minorEastAsia"/>
          <w:color w:val="000000"/>
          <w:sz w:val="24"/>
          <w:szCs w:val="20"/>
        </w:rPr>
        <w:t>以最大程度地避免样品之间的交叉污染。根据以下顺序依次进行样品采集和灌装：挥发性有机物</w:t>
      </w:r>
      <w:r>
        <w:rPr>
          <w:rFonts w:hint="eastAsia" w:ascii="Times New Roman" w:hAnsi="Times New Roman" w:cs="Times New Roman" w:eastAsiaTheme="minorEastAsia"/>
          <w:color w:val="000000"/>
          <w:sz w:val="24"/>
          <w:szCs w:val="20"/>
          <w:lang w:eastAsia="zh-CN"/>
        </w:rPr>
        <w:t>、</w:t>
      </w:r>
      <w:r>
        <w:rPr>
          <w:rFonts w:hint="eastAsia" w:ascii="Times New Roman" w:hAnsi="Times New Roman" w:cs="Times New Roman" w:eastAsiaTheme="minorEastAsia"/>
          <w:color w:val="000000"/>
          <w:sz w:val="24"/>
          <w:szCs w:val="20"/>
        </w:rPr>
        <w:t>半挥发性有机物</w:t>
      </w:r>
      <w:r>
        <w:rPr>
          <w:rFonts w:hint="eastAsia" w:ascii="Times New Roman" w:hAnsi="Times New Roman" w:cs="Times New Roman" w:eastAsiaTheme="minorEastAsia"/>
          <w:color w:val="000000"/>
          <w:sz w:val="24"/>
          <w:szCs w:val="20"/>
          <w:lang w:eastAsia="zh-CN"/>
        </w:rPr>
        <w:t>、</w:t>
      </w:r>
      <w:r>
        <w:rPr>
          <w:rFonts w:hint="eastAsia" w:ascii="Times New Roman" w:hAnsi="Times New Roman" w:cs="Times New Roman" w:eastAsiaTheme="minorEastAsia"/>
          <w:color w:val="000000"/>
          <w:sz w:val="24"/>
          <w:szCs w:val="20"/>
        </w:rPr>
        <w:t>石油烃（C10-C40）</w:t>
      </w:r>
      <w:r>
        <w:rPr>
          <w:rFonts w:hint="eastAsia" w:ascii="Times New Roman" w:hAnsi="Times New Roman" w:cs="Times New Roman" w:eastAsiaTheme="minorEastAsia"/>
          <w:color w:val="000000"/>
          <w:sz w:val="24"/>
          <w:szCs w:val="20"/>
          <w:lang w:eastAsia="zh-CN"/>
        </w:rPr>
        <w:t>、</w:t>
      </w:r>
      <w:r>
        <w:rPr>
          <w:rFonts w:hint="eastAsia" w:ascii="Times New Roman" w:hAnsi="Times New Roman" w:cs="Times New Roman" w:eastAsiaTheme="minorEastAsia"/>
          <w:color w:val="000000"/>
          <w:sz w:val="24"/>
          <w:szCs w:val="20"/>
        </w:rPr>
        <w:t xml:space="preserve">重金属和pH值。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rPr>
        <w:t>所有水样采集后，均迅速灌装入由检测实验室提供的带有标签以及保护剂的专用样品瓶中，并保存在装有冰袋的冷藏箱中。</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59" w:name="_Toc25651"/>
      <w:r>
        <w:rPr>
          <w:rFonts w:hint="eastAsia"/>
          <w:lang w:val="en-US" w:eastAsia="zh-CN"/>
        </w:rPr>
        <w:t>7.3 样品保存、流转与制备</w:t>
      </w:r>
      <w:bookmarkEnd w:id="59"/>
    </w:p>
    <w:p>
      <w:pPr>
        <w:adjustRightInd w:val="0"/>
        <w:snapToGrid w:val="0"/>
        <w:spacing w:line="360" w:lineRule="auto"/>
        <w:ind w:firstLine="480" w:firstLineChars="200"/>
        <w:rPr>
          <w:rFonts w:hint="default" w:ascii="Times New Roman" w:hAnsi="Times New Roman" w:cs="Times New Roman"/>
          <w:color w:val="000000"/>
          <w:sz w:val="24"/>
          <w:szCs w:val="20"/>
          <w:lang w:val="en-US" w:eastAsia="zh-CN"/>
        </w:rPr>
      </w:pPr>
      <w:r>
        <w:rPr>
          <w:rFonts w:hint="eastAsia" w:ascii="Times New Roman" w:hAnsi="Times New Roman" w:cs="Times New Roman"/>
          <w:color w:val="000000"/>
          <w:sz w:val="24"/>
          <w:szCs w:val="20"/>
          <w:lang w:val="en-US" w:eastAsia="zh-CN"/>
        </w:rPr>
        <w:t>样品采集完毕后，</w:t>
      </w:r>
      <w:r>
        <w:rPr>
          <w:rFonts w:hint="eastAsia" w:ascii="Times New Roman" w:hAnsi="Times New Roman" w:cs="Times New Roman" w:eastAsiaTheme="minorEastAsia"/>
          <w:color w:val="000000"/>
          <w:sz w:val="24"/>
          <w:szCs w:val="20"/>
          <w:lang w:val="en-US" w:eastAsia="zh-CN"/>
        </w:rPr>
        <w:t>土壤装入样品瓶后，</w:t>
      </w:r>
      <w:r>
        <w:rPr>
          <w:rFonts w:hint="eastAsia" w:ascii="Times New Roman" w:hAnsi="Times New Roman" w:cs="Times New Roman"/>
          <w:color w:val="000000"/>
          <w:sz w:val="24"/>
          <w:szCs w:val="20"/>
          <w:lang w:val="en-US" w:eastAsia="zh-CN"/>
        </w:rPr>
        <w:t>及时贴上相应的土壤样品标签</w:t>
      </w:r>
      <w:r>
        <w:rPr>
          <w:rFonts w:hint="eastAsia" w:ascii="Times New Roman" w:hAnsi="Times New Roman" w:cs="Times New Roman" w:eastAsiaTheme="minorEastAsia"/>
          <w:color w:val="000000"/>
          <w:sz w:val="24"/>
          <w:szCs w:val="20"/>
          <w:lang w:val="en-US" w:eastAsia="zh-CN"/>
        </w:rPr>
        <w:t>。</w:t>
      </w:r>
      <w:r>
        <w:rPr>
          <w:rFonts w:hint="eastAsia" w:ascii="Times New Roman" w:hAnsi="Times New Roman" w:cs="Times New Roman"/>
          <w:color w:val="000000"/>
          <w:sz w:val="24"/>
          <w:szCs w:val="20"/>
          <w:lang w:val="en-US" w:eastAsia="zh-CN"/>
        </w:rPr>
        <w:t>标明</w:t>
      </w:r>
      <w:r>
        <w:rPr>
          <w:rFonts w:hint="eastAsia" w:ascii="Times New Roman" w:hAnsi="Times New Roman" w:cs="Times New Roman" w:eastAsiaTheme="minorEastAsia"/>
          <w:color w:val="000000"/>
          <w:sz w:val="24"/>
          <w:szCs w:val="20"/>
          <w:lang w:val="en-US" w:eastAsia="zh-CN"/>
        </w:rPr>
        <w:t>样品编码和采样日期，要求字迹清晰可辨</w:t>
      </w:r>
      <w:r>
        <w:rPr>
          <w:rFonts w:hint="eastAsia" w:ascii="Times New Roman" w:hAnsi="Times New Roman" w:cs="Times New Roman"/>
          <w:color w:val="000000"/>
          <w:sz w:val="24"/>
          <w:szCs w:val="20"/>
          <w:lang w:val="en-US" w:eastAsia="zh-CN"/>
        </w:rPr>
        <w:t>，</w:t>
      </w:r>
      <w:r>
        <w:rPr>
          <w:rFonts w:hint="eastAsia" w:ascii="Times New Roman" w:hAnsi="Times New Roman" w:cs="Times New Roman" w:eastAsiaTheme="minorEastAsia"/>
          <w:color w:val="000000"/>
          <w:sz w:val="24"/>
          <w:szCs w:val="20"/>
          <w:lang w:val="en-US" w:eastAsia="zh-CN"/>
        </w:rPr>
        <w:t>样品瓶需用泡沫塑料袋包裹，随即放入现场带有冷冻蓝冰的样品箱内进行临时保存。</w:t>
      </w:r>
      <w:r>
        <w:rPr>
          <w:rFonts w:hint="eastAsia" w:ascii="Times New Roman" w:hAnsi="Times New Roman" w:cs="Times New Roman"/>
          <w:color w:val="000000"/>
          <w:sz w:val="24"/>
          <w:szCs w:val="20"/>
          <w:lang w:val="en-US" w:eastAsia="zh-CN"/>
        </w:rPr>
        <w:t>地下水样品</w:t>
      </w:r>
      <w:r>
        <w:rPr>
          <w:rFonts w:hint="eastAsia" w:ascii="Times New Roman" w:hAnsi="Times New Roman" w:cs="Times New Roman" w:eastAsiaTheme="minorEastAsia"/>
          <w:color w:val="000000"/>
          <w:sz w:val="24"/>
          <w:szCs w:val="20"/>
        </w:rPr>
        <w:t>均迅速灌装入由检测实验室提供的带有标签以及保护剂的专用样品瓶中，并保存在装有冰袋的冷藏箱中</w:t>
      </w:r>
      <w:r>
        <w:rPr>
          <w:rFonts w:hint="eastAsia" w:ascii="Times New Roman" w:hAnsi="Times New Roman" w:cs="Times New Roman"/>
          <w:color w:val="000000"/>
          <w:sz w:val="24"/>
          <w:szCs w:val="20"/>
          <w:lang w:val="en-US" w:eastAsia="zh-CN"/>
        </w:rPr>
        <w:t>低温保存</w:t>
      </w:r>
      <w:r>
        <w:rPr>
          <w:rFonts w:hint="eastAsia" w:ascii="Times New Roman" w:hAnsi="Times New Roman" w:cs="Times New Roman" w:eastAsiaTheme="minorEastAsia"/>
          <w:color w:val="000000"/>
          <w:sz w:val="24"/>
          <w:szCs w:val="20"/>
        </w:rPr>
        <w:t>。</w:t>
      </w:r>
    </w:p>
    <w:p>
      <w:pPr>
        <w:bidi w:val="0"/>
        <w:spacing w:line="360" w:lineRule="auto"/>
        <w:ind w:firstLine="480" w:firstLineChars="200"/>
        <w:rPr>
          <w:rFonts w:hint="eastAsia"/>
          <w:sz w:val="24"/>
          <w:szCs w:val="24"/>
          <w:lang w:val="en-US" w:eastAsia="zh-CN"/>
        </w:rPr>
      </w:pPr>
      <w:r>
        <w:rPr>
          <w:rFonts w:hint="eastAsia" w:cs="Times New Roman" w:eastAsiaTheme="minorEastAsia"/>
          <w:color w:val="000000"/>
          <w:sz w:val="24"/>
          <w:szCs w:val="20"/>
          <w:lang w:val="en-US" w:eastAsia="zh-CN"/>
        </w:rPr>
        <w:t>采样过程中</w:t>
      </w:r>
      <w:r>
        <w:rPr>
          <w:rFonts w:hint="eastAsia" w:ascii="Times New Roman" w:hAnsi="Times New Roman" w:cs="Times New Roman" w:eastAsiaTheme="minorEastAsia"/>
          <w:color w:val="000000"/>
          <w:sz w:val="24"/>
          <w:szCs w:val="20"/>
        </w:rPr>
        <w:t>所有样品均迅速随同样品跟踪单一起通过汽车运输，直接送至检测单位进行分析。样品运输跟踪单提供了一个准确的文字跟踪记录，来表明每个样品从采样到检测单位分析全过程的信息。样品跟踪单经常被用来说明样品的采集和分析要求。现场专业技术人员在样品跟踪单上记录的信息主要包括：样品采集的日期和时间；样品编号；采样容器的数量和大小，以及样品分析参数等内容。所有样品均在冷藏状况下到达检测单位。</w:t>
      </w:r>
    </w:p>
    <w:p>
      <w:pPr>
        <w:pStyle w:val="3"/>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sectPr>
          <w:pgSz w:w="11910" w:h="16840"/>
          <w:pgMar w:top="1420" w:right="1540" w:bottom="1160" w:left="1660" w:header="897" w:footer="975" w:gutter="0"/>
          <w:pgBorders>
            <w:top w:val="none" w:sz="0" w:space="0"/>
            <w:left w:val="none" w:sz="0" w:space="0"/>
            <w:bottom w:val="none" w:sz="0" w:space="0"/>
            <w:right w:val="none" w:sz="0" w:space="0"/>
          </w:pgBorders>
          <w:pgNumType w:fmt="decimal"/>
          <w:cols w:space="720" w:num="1"/>
        </w:sectPr>
      </w:pPr>
    </w:p>
    <w:p>
      <w:pPr>
        <w:pStyle w:val="3"/>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60" w:name="_Toc27216"/>
      <w:r>
        <w:rPr>
          <w:rFonts w:hint="eastAsia"/>
          <w:lang w:val="en-US" w:eastAsia="zh-CN"/>
        </w:rPr>
        <w:t>8监测结果及分析</w:t>
      </w:r>
      <w:bookmarkEnd w:id="56"/>
      <w:bookmarkEnd w:id="60"/>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default"/>
          <w:lang w:val="en-US" w:eastAsia="zh-CN"/>
        </w:rPr>
      </w:pPr>
      <w:bookmarkStart w:id="61" w:name="_Toc10463"/>
      <w:bookmarkStart w:id="62" w:name="_Toc3756"/>
      <w:r>
        <w:rPr>
          <w:rFonts w:hint="eastAsia"/>
          <w:lang w:val="en-US" w:eastAsia="zh-CN"/>
        </w:rPr>
        <w:t>8.1土壤监测结果</w:t>
      </w:r>
      <w:bookmarkEnd w:id="61"/>
      <w:r>
        <w:rPr>
          <w:rFonts w:hint="eastAsia"/>
          <w:lang w:val="en-US" w:eastAsia="zh-CN"/>
        </w:rPr>
        <w:t>分析</w:t>
      </w:r>
      <w:bookmarkEnd w:id="62"/>
    </w:p>
    <w:p>
      <w:pPr>
        <w:numPr>
          <w:ilvl w:val="0"/>
          <w:numId w:val="5"/>
        </w:numPr>
        <w:spacing w:line="460" w:lineRule="exact"/>
        <w:ind w:firstLine="480" w:firstLineChars="200"/>
        <w:rPr>
          <w:rFonts w:hint="default"/>
          <w:lang w:val="en-US" w:eastAsia="zh-CN"/>
        </w:rPr>
      </w:pPr>
      <w:r>
        <w:rPr>
          <w:rFonts w:hint="default" w:ascii="Times New Roman" w:hAnsi="Times New Roman" w:cs="Times New Roman"/>
          <w:color w:val="auto"/>
          <w:sz w:val="24"/>
          <w:szCs w:val="24"/>
          <w:lang w:val="en-US" w:eastAsia="zh-CN"/>
        </w:rPr>
        <w:t>分析方法</w:t>
      </w:r>
    </w:p>
    <w:p>
      <w:pPr>
        <w:keepNext w:val="0"/>
        <w:keepLines w:val="0"/>
        <w:widowControl/>
        <w:suppressLineNumbers w:val="0"/>
        <w:jc w:val="center"/>
        <w:rPr>
          <w:rFonts w:hint="eastAsia" w:ascii="宋体" w:hAnsi="宋体" w:eastAsia="宋体" w:cs="宋体"/>
          <w:b/>
          <w:color w:val="000000"/>
          <w:kern w:val="0"/>
          <w:sz w:val="24"/>
          <w:szCs w:val="24"/>
          <w:lang w:val="en-US" w:eastAsia="zh-CN" w:bidi="ar"/>
        </w:rPr>
      </w:pPr>
      <w:r>
        <w:rPr>
          <w:rFonts w:hint="default" w:ascii="Times New Roman" w:hAnsi="Times New Roman" w:eastAsia="宋体" w:cs="Times New Roman"/>
          <w:b/>
          <w:color w:val="000000"/>
          <w:kern w:val="0"/>
          <w:sz w:val="24"/>
          <w:szCs w:val="24"/>
          <w:lang w:val="en-US" w:eastAsia="zh-CN" w:bidi="ar"/>
        </w:rPr>
        <w:t xml:space="preserve">表 </w:t>
      </w:r>
      <w:r>
        <w:rPr>
          <w:rFonts w:hint="eastAsia" w:ascii="Times New Roman" w:hAnsi="Times New Roman" w:eastAsia="宋体" w:cs="Times New Roman"/>
          <w:b/>
          <w:color w:val="000000"/>
          <w:kern w:val="0"/>
          <w:sz w:val="24"/>
          <w:szCs w:val="24"/>
          <w:lang w:val="en-US" w:eastAsia="zh-CN" w:bidi="ar"/>
        </w:rPr>
        <w:t>8.1-1</w:t>
      </w:r>
      <w:r>
        <w:rPr>
          <w:rFonts w:hint="default" w:ascii="Times New Roman" w:hAnsi="Times New Roman" w:eastAsia="宋体" w:cs="Times New Roman"/>
          <w:b/>
          <w:color w:val="000000"/>
          <w:kern w:val="0"/>
          <w:sz w:val="24"/>
          <w:szCs w:val="24"/>
          <w:lang w:val="en-US" w:eastAsia="zh-CN" w:bidi="ar"/>
        </w:rPr>
        <w:t xml:space="preserve"> 土壤样品测试分析方法</w:t>
      </w:r>
    </w:p>
    <w:tbl>
      <w:tblPr>
        <w:tblStyle w:val="17"/>
        <w:tblW w:w="4990"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737"/>
        <w:gridCol w:w="2466"/>
        <w:gridCol w:w="1102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left w:val="nil"/>
              <w:bottom w:val="single" w:color="000000" w:sz="4" w:space="0"/>
              <w:right w:val="single" w:color="000000" w:sz="4" w:space="0"/>
            </w:tcBorders>
            <w:vAlign w:val="top"/>
          </w:tcPr>
          <w:p>
            <w:pPr>
              <w:pStyle w:val="26"/>
              <w:spacing w:before="21"/>
              <w:ind w:left="122"/>
              <w:jc w:val="left"/>
              <w:rPr>
                <w:rFonts w:hint="default" w:ascii="Times New Roman" w:hAnsi="Times New Roman" w:eastAsia="宋体" w:cs="Times New Roman"/>
                <w:b/>
                <w:color w:val="auto"/>
                <w:sz w:val="21"/>
              </w:rPr>
            </w:pPr>
            <w:r>
              <w:rPr>
                <w:rFonts w:hint="default" w:ascii="Times New Roman" w:hAnsi="Times New Roman" w:eastAsia="宋体" w:cs="Times New Roman"/>
                <w:b/>
                <w:color w:val="auto"/>
                <w:sz w:val="21"/>
              </w:rPr>
              <w:t>序号</w:t>
            </w:r>
          </w:p>
        </w:tc>
        <w:tc>
          <w:tcPr>
            <w:tcW w:w="866" w:type="pct"/>
            <w:tcBorders>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b/>
                <w:color w:val="auto"/>
                <w:sz w:val="21"/>
              </w:rPr>
            </w:pPr>
            <w:r>
              <w:rPr>
                <w:rFonts w:hint="default" w:ascii="Times New Roman" w:hAnsi="Times New Roman" w:eastAsia="宋体" w:cs="Times New Roman"/>
                <w:b/>
                <w:color w:val="auto"/>
                <w:sz w:val="21"/>
              </w:rPr>
              <w:t>分析项目</w:t>
            </w:r>
          </w:p>
        </w:tc>
        <w:tc>
          <w:tcPr>
            <w:tcW w:w="3873" w:type="pct"/>
            <w:tcBorders>
              <w:left w:val="single" w:color="000000" w:sz="4" w:space="0"/>
              <w:bottom w:val="single" w:color="000000" w:sz="4" w:space="0"/>
              <w:right w:val="nil"/>
            </w:tcBorders>
            <w:vAlign w:val="top"/>
          </w:tcPr>
          <w:p>
            <w:pPr>
              <w:pStyle w:val="26"/>
              <w:spacing w:before="21"/>
              <w:ind w:left="118"/>
              <w:jc w:val="left"/>
              <w:rPr>
                <w:rFonts w:hint="default" w:ascii="Times New Roman" w:hAnsi="Times New Roman" w:eastAsia="宋体" w:cs="Times New Roman"/>
                <w:b/>
                <w:color w:val="auto"/>
                <w:sz w:val="21"/>
              </w:rPr>
            </w:pPr>
            <w:r>
              <w:rPr>
                <w:rFonts w:hint="default" w:ascii="Times New Roman" w:hAnsi="Times New Roman" w:eastAsia="宋体" w:cs="Times New Roman"/>
                <w:b/>
                <w:color w:val="auto"/>
                <w:sz w:val="21"/>
              </w:rPr>
              <w:t>分析方法及编号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1</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eastAsia" w:eastAsia="宋体" w:cs="Times New Roman"/>
                <w:color w:val="auto"/>
                <w:w w:val="99"/>
                <w:sz w:val="21"/>
                <w:lang w:val="en-US" w:eastAsia="zh-CN"/>
              </w:rPr>
              <w:t>总</w:t>
            </w:r>
            <w:r>
              <w:rPr>
                <w:rFonts w:hint="default" w:ascii="Times New Roman" w:hAnsi="Times New Roman" w:eastAsia="宋体" w:cs="Times New Roman"/>
                <w:color w:val="auto"/>
                <w:w w:val="99"/>
                <w:sz w:val="21"/>
              </w:rPr>
              <w:t>砷</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土壤质量 总汞、总砷、总铅的测定.原子荧光法.第2部分土壤中总砷的测定 GB/T 22105.2-2008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2</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w w:val="99"/>
                <w:sz w:val="21"/>
              </w:rPr>
              <w:t>镉</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土壤质量 铅、镉的测定 石墨炉原子吸收分光光度法 GB/T 17141-1997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3</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铬（六价）</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lang w:val="en-US" w:eastAsia="zh-CN"/>
              </w:rPr>
              <w:t>《土壤和沉积物 六价铬的测定 碱溶液提取-火焰原子吸收分光光度法》  HJ 1082-2019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4</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w w:val="99"/>
                <w:sz w:val="21"/>
              </w:rPr>
              <w:t>铜</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铜、锌、铅、镍、铬的测定 火焰原子吸收分光光度法 HJ 491-2019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5</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w w:val="99"/>
                <w:sz w:val="21"/>
              </w:rPr>
              <w:t>铅</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土壤质量 铅、镉的测定 石墨炉原子吸收分光光度法 GB/T 17141-1997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6</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eastAsia" w:eastAsia="宋体" w:cs="Times New Roman"/>
                <w:color w:val="auto"/>
                <w:w w:val="99"/>
                <w:sz w:val="21"/>
                <w:lang w:val="en-US" w:eastAsia="zh-CN"/>
              </w:rPr>
              <w:t>总</w:t>
            </w:r>
            <w:r>
              <w:rPr>
                <w:rFonts w:hint="default" w:ascii="Times New Roman" w:hAnsi="Times New Roman" w:eastAsia="宋体" w:cs="Times New Roman"/>
                <w:color w:val="auto"/>
                <w:w w:val="99"/>
                <w:sz w:val="21"/>
              </w:rPr>
              <w:t>汞</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土壤质量 总汞、总砷、总铅的测定 原子荧光法 第1部分：土壤中总汞的测定 GB/T 22105.1-2008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7</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w w:val="99"/>
                <w:sz w:val="21"/>
              </w:rPr>
              <w:t>镍</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铜、锌、铅、镍、铬的测定 火焰原子吸收分光光度法 HJ 491-2019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8</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四氯化碳</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w w:val="99"/>
                <w:sz w:val="21"/>
              </w:rPr>
              <w:t>9</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氯仿</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10</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氯甲烷</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11</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1,1-二氯乙烷</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12</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1,2-二氯乙烷</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13</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1,1-二氯乙烯</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14</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顺-1,2 -二氯乙烯</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15</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反-1,2 -二氯乙烯</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16</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二氯甲烷</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17</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1,2-二氯丙烷</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18</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1,1,1,2-四氯乙烷</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19</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1,1,2,2-四氯乙烷</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20</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四氯乙烯</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21</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1,1,1-三氯乙烷</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3"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jc w:val="left"/>
              <w:rPr>
                <w:rFonts w:hint="default" w:ascii="Times New Roman" w:hAnsi="Times New Roman" w:cs="Times New Roman"/>
                <w:color w:val="auto"/>
                <w:sz w:val="21"/>
              </w:rPr>
            </w:pPr>
            <w:r>
              <w:rPr>
                <w:rFonts w:hint="default" w:ascii="Times New Roman" w:hAnsi="Times New Roman" w:cs="Times New Roman"/>
                <w:color w:val="auto"/>
                <w:sz w:val="21"/>
              </w:rPr>
              <w:t>22</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1,1,2-三氯乙烷</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line="268" w:lineRule="exact"/>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23</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line="268" w:lineRule="exact"/>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三氯乙烯</w:t>
            </w:r>
          </w:p>
        </w:tc>
        <w:tc>
          <w:tcPr>
            <w:tcW w:w="3873" w:type="pct"/>
            <w:tcBorders>
              <w:top w:val="single" w:color="000000" w:sz="4" w:space="0"/>
              <w:left w:val="single" w:color="000000" w:sz="4" w:space="0"/>
              <w:bottom w:val="single" w:color="000000" w:sz="4" w:space="0"/>
              <w:right w:val="nil"/>
            </w:tcBorders>
            <w:vAlign w:val="top"/>
          </w:tcPr>
          <w:p>
            <w:pPr>
              <w:pStyle w:val="26"/>
              <w:spacing w:before="22" w:line="268" w:lineRule="exact"/>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24</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1,2,3-三氯丙烷</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25</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氯乙烯</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26</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w w:val="99"/>
                <w:sz w:val="21"/>
              </w:rPr>
              <w:t>苯</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27</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氯苯</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28</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1,2-二氯苯</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29</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1,4-二氯苯</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30</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乙苯</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31</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苯乙烯</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32</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甲苯</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33</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间二甲苯+对二甲苯</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34</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邻二甲苯</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挥发性有机物的测定 吹扫捕集/气相色谱-质谱法 HJ 605-2011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35</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硝基苯</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36</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苯胺</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苯胺的测定 气相色谱-质谱法 LT-3-JC004(01)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37</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2-氯酚</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38</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苯并[a]蒽</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39</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苯并[a]芘</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40</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苯并[b]荧蒽</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41</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苯并[k]荧蒽</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2"/>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42</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w w:val="99"/>
                <w:sz w:val="21"/>
              </w:rPr>
              <w:t>䓛</w:t>
            </w:r>
          </w:p>
        </w:tc>
        <w:tc>
          <w:tcPr>
            <w:tcW w:w="3873" w:type="pct"/>
            <w:tcBorders>
              <w:top w:val="single" w:color="000000" w:sz="4" w:space="0"/>
              <w:left w:val="single" w:color="000000" w:sz="4" w:space="0"/>
              <w:bottom w:val="single" w:color="000000" w:sz="4" w:space="0"/>
              <w:right w:val="nil"/>
            </w:tcBorders>
            <w:vAlign w:val="top"/>
          </w:tcPr>
          <w:p>
            <w:pPr>
              <w:pStyle w:val="26"/>
              <w:spacing w:before="22"/>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43</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二苯并[a, h]蒽</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44</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茚并[1,2,3-cd]芘</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45</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w w:val="99"/>
                <w:sz w:val="21"/>
              </w:rPr>
              <w:t>萘</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半挥发性有机物的测定 气相色谱-质谱法 HJ 834-2017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259" w:type="pct"/>
            <w:tcBorders>
              <w:top w:val="single" w:color="000000" w:sz="4" w:space="0"/>
              <w:left w:val="nil"/>
              <w:bottom w:val="single" w:color="000000" w:sz="4" w:space="0"/>
              <w:right w:val="single" w:color="000000" w:sz="4" w:space="0"/>
            </w:tcBorders>
            <w:vAlign w:val="top"/>
          </w:tcPr>
          <w:p>
            <w:pPr>
              <w:pStyle w:val="26"/>
              <w:spacing w:before="66"/>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46</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66"/>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pH值</w:t>
            </w:r>
          </w:p>
        </w:tc>
        <w:tc>
          <w:tcPr>
            <w:tcW w:w="3873" w:type="pct"/>
            <w:tcBorders>
              <w:top w:val="single" w:color="000000" w:sz="4" w:space="0"/>
              <w:left w:val="single" w:color="000000" w:sz="4" w:space="0"/>
              <w:bottom w:val="single" w:color="000000" w:sz="4" w:space="0"/>
              <w:right w:val="nil"/>
            </w:tcBorders>
            <w:vAlign w:val="top"/>
          </w:tcPr>
          <w:p>
            <w:pPr>
              <w:pStyle w:val="26"/>
              <w:spacing w:before="66"/>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 pH值的测定 电位法 HJ962-2018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0"/>
              <w:ind w:left="122" w:leftChars="0"/>
              <w:jc w:val="left"/>
              <w:rPr>
                <w:rFonts w:hint="default" w:ascii="Times New Roman" w:hAnsi="Times New Roman" w:eastAsia="Times New Roman" w:cs="Times New Roman"/>
                <w:color w:val="auto"/>
                <w:kern w:val="2"/>
                <w:sz w:val="21"/>
                <w:szCs w:val="24"/>
                <w:lang w:val="zh-CN" w:eastAsia="zh-CN" w:bidi="zh-CN"/>
              </w:rPr>
            </w:pPr>
            <w:r>
              <w:rPr>
                <w:rFonts w:hint="default" w:ascii="Times New Roman" w:hAnsi="Times New Roman" w:cs="Times New Roman"/>
                <w:color w:val="auto"/>
                <w:sz w:val="21"/>
              </w:rPr>
              <w:t>47</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石油烃（C10-C40）</w:t>
            </w:r>
          </w:p>
        </w:tc>
        <w:tc>
          <w:tcPr>
            <w:tcW w:w="3873" w:type="pct"/>
            <w:tcBorders>
              <w:top w:val="single" w:color="000000" w:sz="4" w:space="0"/>
              <w:left w:val="single" w:color="000000" w:sz="4" w:space="0"/>
              <w:bottom w:val="single" w:color="000000" w:sz="4" w:space="0"/>
              <w:right w:val="nil"/>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zh-CN" w:eastAsia="zh-CN" w:bidi="zh-CN"/>
              </w:rPr>
            </w:pPr>
            <w:r>
              <w:rPr>
                <w:rFonts w:hint="default" w:ascii="Times New Roman" w:hAnsi="Times New Roman" w:eastAsia="宋体" w:cs="Times New Roman"/>
                <w:color w:val="auto"/>
                <w:sz w:val="21"/>
              </w:rPr>
              <w:t>土壤和沉积物 石油烃（C10-C40）的测定 气相色谱法 HJ 1021-2019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Times New Roman" w:cs="Times New Roman"/>
                <w:color w:val="auto"/>
                <w:kern w:val="2"/>
                <w:sz w:val="21"/>
                <w:szCs w:val="24"/>
                <w:lang w:val="en-US" w:eastAsia="zh-CN" w:bidi="zh-CN"/>
              </w:rPr>
            </w:pPr>
            <w:r>
              <w:rPr>
                <w:rFonts w:hint="default" w:ascii="Times New Roman" w:hAnsi="Times New Roman" w:cs="Times New Roman"/>
                <w:color w:val="auto"/>
                <w:kern w:val="2"/>
                <w:sz w:val="21"/>
                <w:szCs w:val="24"/>
                <w:lang w:val="en-US" w:eastAsia="zh-CN" w:bidi="zh-CN"/>
              </w:rPr>
              <w:t>48</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ascii="Times New Roman" w:hAnsi="Times New Roman" w:eastAsia="宋体" w:cs="Times New Roman"/>
                <w:color w:val="auto"/>
                <w:kern w:val="2"/>
                <w:sz w:val="21"/>
                <w:szCs w:val="24"/>
                <w:lang w:val="en-US" w:eastAsia="zh-CN" w:bidi="zh-CN"/>
              </w:rPr>
            </w:pPr>
            <w:r>
              <w:rPr>
                <w:rFonts w:hint="eastAsia" w:eastAsia="宋体" w:cs="Times New Roman"/>
                <w:color w:val="auto"/>
                <w:kern w:val="2"/>
                <w:sz w:val="21"/>
                <w:szCs w:val="24"/>
                <w:lang w:val="en-US" w:eastAsia="zh-CN" w:bidi="zh-CN"/>
              </w:rPr>
              <w:t>氰化物</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kern w:val="2"/>
                <w:sz w:val="21"/>
                <w:szCs w:val="24"/>
                <w:lang w:val="en-US" w:eastAsia="zh-CN" w:bidi="zh-CN"/>
              </w:rPr>
            </w:pPr>
            <w:r>
              <w:rPr>
                <w:rFonts w:hint="eastAsia" w:eastAsia="宋体" w:cs="Times New Roman"/>
                <w:color w:val="auto"/>
                <w:sz w:val="21"/>
                <w:lang w:val="en-US" w:eastAsia="zh-CN"/>
              </w:rPr>
              <w:t>氰化物和总氰化物的测定 分光光度法 HJ745-2015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259"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cs="Times New Roman"/>
                <w:color w:val="auto"/>
                <w:kern w:val="2"/>
                <w:sz w:val="21"/>
                <w:szCs w:val="24"/>
                <w:lang w:val="en-US" w:eastAsia="zh-CN" w:bidi="zh-CN"/>
              </w:rPr>
            </w:pPr>
            <w:r>
              <w:rPr>
                <w:rFonts w:hint="eastAsia" w:cs="Times New Roman"/>
                <w:color w:val="auto"/>
                <w:kern w:val="2"/>
                <w:sz w:val="21"/>
                <w:szCs w:val="24"/>
                <w:lang w:val="en-US" w:eastAsia="zh-CN" w:bidi="zh-CN"/>
              </w:rPr>
              <w:t>49</w:t>
            </w:r>
          </w:p>
        </w:tc>
        <w:tc>
          <w:tcPr>
            <w:tcW w:w="866"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8" w:leftChars="0"/>
              <w:jc w:val="left"/>
              <w:rPr>
                <w:rFonts w:hint="default" w:eastAsia="宋体" w:cs="Times New Roman"/>
                <w:color w:val="auto"/>
                <w:kern w:val="2"/>
                <w:sz w:val="21"/>
                <w:szCs w:val="24"/>
                <w:lang w:val="en-US" w:eastAsia="zh-CN" w:bidi="zh-CN"/>
              </w:rPr>
            </w:pPr>
            <w:r>
              <w:rPr>
                <w:rFonts w:hint="eastAsia" w:eastAsia="宋体" w:cs="Times New Roman"/>
                <w:color w:val="auto"/>
                <w:kern w:val="2"/>
                <w:sz w:val="21"/>
                <w:szCs w:val="24"/>
                <w:lang w:val="en-US" w:eastAsia="zh-CN" w:bidi="zh-CN"/>
              </w:rPr>
              <w:t>N,N-二甲基甲酰胺</w:t>
            </w:r>
          </w:p>
        </w:tc>
        <w:tc>
          <w:tcPr>
            <w:tcW w:w="3873" w:type="pct"/>
            <w:tcBorders>
              <w:top w:val="single" w:color="000000" w:sz="4" w:space="0"/>
              <w:left w:val="single" w:color="000000" w:sz="4" w:space="0"/>
              <w:bottom w:val="single" w:color="000000" w:sz="4" w:space="0"/>
              <w:right w:val="nil"/>
            </w:tcBorders>
            <w:vAlign w:val="top"/>
          </w:tcPr>
          <w:p>
            <w:pPr>
              <w:pStyle w:val="26"/>
              <w:spacing w:before="20"/>
              <w:ind w:left="118" w:leftChars="0"/>
              <w:jc w:val="left"/>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气相色谱法</w:t>
            </w:r>
          </w:p>
        </w:tc>
      </w:tr>
    </w:tbl>
    <w:p>
      <w:pPr>
        <w:spacing w:line="460" w:lineRule="exact"/>
        <w:ind w:firstLine="480" w:firstLineChars="200"/>
        <w:rPr>
          <w:rFonts w:hint="eastAsia" w:asciiTheme="minorEastAsia" w:hAnsiTheme="minorEastAsia" w:cstheme="minorEastAsia"/>
          <w:color w:val="auto"/>
          <w:sz w:val="24"/>
          <w:szCs w:val="24"/>
          <w:lang w:val="en-US" w:eastAsia="zh-CN"/>
        </w:rPr>
        <w:sectPr>
          <w:pgSz w:w="16840" w:h="11910" w:orient="landscape"/>
          <w:pgMar w:top="1660" w:right="1420" w:bottom="1540" w:left="1160" w:header="897" w:footer="975" w:gutter="0"/>
          <w:pgBorders>
            <w:top w:val="none" w:sz="0" w:space="0"/>
            <w:left w:val="none" w:sz="0" w:space="0"/>
            <w:bottom w:val="none" w:sz="0" w:space="0"/>
            <w:right w:val="none" w:sz="0" w:space="0"/>
          </w:pgBorders>
          <w:pgNumType w:fmt="decimal"/>
          <w:cols w:space="720" w:num="1"/>
        </w:sectPr>
      </w:pPr>
    </w:p>
    <w:p>
      <w:pPr>
        <w:spacing w:line="460" w:lineRule="exact"/>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2）各点位监测结果</w:t>
      </w:r>
    </w:p>
    <w:p>
      <w:pPr>
        <w:spacing w:line="460" w:lineRule="exact"/>
        <w:ind w:firstLine="480" w:firstLineChars="200"/>
        <w:rPr>
          <w:rFonts w:hint="eastAsia" w:asciiTheme="minorEastAsia" w:hAnsiTheme="minorEastAsia" w:cstheme="minorEastAsia"/>
          <w:color w:val="auto"/>
          <w:sz w:val="24"/>
          <w:szCs w:val="24"/>
          <w:lang w:val="en-US" w:eastAsia="zh-CN"/>
        </w:rPr>
      </w:pPr>
      <w:r>
        <w:rPr>
          <w:rFonts w:hint="default" w:ascii="Times New Roman" w:hAnsi="Times New Roman" w:cs="Times New Roman"/>
          <w:color w:val="auto"/>
          <w:sz w:val="24"/>
          <w:szCs w:val="24"/>
          <w:lang w:val="en-US" w:eastAsia="zh-CN"/>
        </w:rPr>
        <w:t>本次调查共分析土壤样</w:t>
      </w:r>
      <w:r>
        <w:rPr>
          <w:rFonts w:hint="default" w:ascii="Times New Roman" w:hAnsi="Times New Roman" w:cs="Times New Roman"/>
          <w:color w:val="auto"/>
          <w:sz w:val="24"/>
          <w:szCs w:val="24"/>
          <w:highlight w:val="none"/>
          <w:lang w:val="en-US" w:eastAsia="zh-CN"/>
        </w:rPr>
        <w:t>品</w:t>
      </w:r>
      <w:r>
        <w:rPr>
          <w:rFonts w:hint="eastAsia"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lang w:val="en-US" w:eastAsia="zh-CN"/>
        </w:rPr>
        <w:t>个</w:t>
      </w:r>
      <w:r>
        <w:rPr>
          <w:rFonts w:hint="default" w:ascii="Times New Roman" w:hAnsi="Times New Roman" w:cs="Times New Roman"/>
          <w:color w:val="auto"/>
          <w:sz w:val="24"/>
          <w:szCs w:val="24"/>
          <w:lang w:val="en-US" w:eastAsia="zh-CN"/>
        </w:rPr>
        <w:t>，检测结果汇总见表</w:t>
      </w:r>
      <w:r>
        <w:rPr>
          <w:rFonts w:hint="eastAsia" w:ascii="Times New Roman" w:hAnsi="Times New Roman" w:cs="Times New Roman"/>
          <w:color w:val="auto"/>
          <w:sz w:val="24"/>
          <w:szCs w:val="24"/>
          <w:lang w:val="en-US" w:eastAsia="zh-CN"/>
        </w:rPr>
        <w:t>8.1-2</w:t>
      </w:r>
      <w:r>
        <w:rPr>
          <w:rFonts w:hint="default" w:ascii="Times New Roman" w:hAnsi="Times New Roman" w:cs="Times New Roman"/>
          <w:color w:val="auto"/>
          <w:sz w:val="24"/>
          <w:szCs w:val="24"/>
          <w:lang w:val="en-US" w:eastAsia="zh-CN"/>
        </w:rPr>
        <w:t>。</w:t>
      </w:r>
    </w:p>
    <w:p>
      <w:pPr>
        <w:spacing w:line="460" w:lineRule="exact"/>
        <w:ind w:firstLine="482" w:firstLineChars="200"/>
        <w:jc w:val="center"/>
        <w:rPr>
          <w:rFonts w:hint="default" w:asciiTheme="minorEastAsia" w:hAnsiTheme="minorEastAsia" w:cstheme="minorEastAsia"/>
          <w:b/>
          <w:bCs/>
          <w:color w:val="auto"/>
          <w:sz w:val="24"/>
          <w:szCs w:val="24"/>
          <w:lang w:val="en-US" w:eastAsia="zh-CN"/>
        </w:rPr>
      </w:pPr>
      <w:r>
        <w:rPr>
          <w:rFonts w:hint="default" w:ascii="Times New Roman" w:hAnsi="Times New Roman" w:cs="Times New Roman"/>
          <w:b/>
          <w:bCs/>
          <w:color w:val="auto"/>
          <w:sz w:val="24"/>
          <w:szCs w:val="24"/>
          <w:lang w:val="en-US" w:eastAsia="zh-CN"/>
        </w:rPr>
        <w:t>表8.1-2</w:t>
      </w:r>
      <w:r>
        <w:rPr>
          <w:rFonts w:hint="eastAsia" w:asciiTheme="minorEastAsia" w:hAnsiTheme="minorEastAsia" w:cstheme="minorEastAsia"/>
          <w:b/>
          <w:bCs/>
          <w:color w:val="auto"/>
          <w:sz w:val="24"/>
          <w:szCs w:val="24"/>
          <w:lang w:val="en-US" w:eastAsia="zh-CN"/>
        </w:rPr>
        <w:t xml:space="preserve"> 土壤监测结果</w:t>
      </w:r>
    </w:p>
    <w:tbl>
      <w:tblPr>
        <w:tblStyle w:val="17"/>
        <w:tblW w:w="487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8"/>
        <w:gridCol w:w="2120"/>
        <w:gridCol w:w="1001"/>
        <w:gridCol w:w="1027"/>
        <w:gridCol w:w="979"/>
        <w:gridCol w:w="965"/>
        <w:gridCol w:w="1209"/>
        <w:gridCol w:w="11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1533" w:type="pct"/>
            <w:gridSpan w:val="2"/>
            <w:vMerge w:val="restar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检测项目</w:t>
            </w:r>
          </w:p>
        </w:tc>
        <w:tc>
          <w:tcPr>
            <w:tcW w:w="550" w:type="pct"/>
            <w:vMerge w:val="restar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单位</w:t>
            </w:r>
          </w:p>
        </w:tc>
        <w:tc>
          <w:tcPr>
            <w:tcW w:w="564" w:type="pc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T1 </w:t>
            </w:r>
          </w:p>
        </w:tc>
        <w:tc>
          <w:tcPr>
            <w:tcW w:w="538"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T2</w:t>
            </w:r>
          </w:p>
        </w:tc>
        <w:tc>
          <w:tcPr>
            <w:tcW w:w="530"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T3</w:t>
            </w:r>
          </w:p>
        </w:tc>
        <w:tc>
          <w:tcPr>
            <w:tcW w:w="664"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T4</w:t>
            </w:r>
          </w:p>
        </w:tc>
        <w:tc>
          <w:tcPr>
            <w:tcW w:w="618"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1533" w:type="pct"/>
            <w:gridSpan w:val="2"/>
            <w:vMerge w:val="continue"/>
            <w:noWrap w:val="0"/>
            <w:vAlign w:val="center"/>
          </w:tcPr>
          <w:p>
            <w:pPr>
              <w:spacing w:line="300" w:lineRule="exact"/>
              <w:jc w:val="center"/>
              <w:rPr>
                <w:rFonts w:hint="default" w:ascii="Times New Roman" w:hAnsi="Times New Roman" w:cs="Times New Roman"/>
                <w:color w:val="auto"/>
                <w:lang w:val="en-US" w:eastAsia="zh-CN"/>
              </w:rPr>
            </w:pPr>
          </w:p>
        </w:tc>
        <w:tc>
          <w:tcPr>
            <w:tcW w:w="550" w:type="pct"/>
            <w:vMerge w:val="continue"/>
            <w:noWrap w:val="0"/>
            <w:vAlign w:val="center"/>
          </w:tcPr>
          <w:p>
            <w:pPr>
              <w:spacing w:line="300" w:lineRule="exact"/>
              <w:jc w:val="center"/>
              <w:rPr>
                <w:rFonts w:hint="default" w:ascii="Times New Roman" w:hAnsi="Times New Roman" w:cs="Times New Roman"/>
                <w:color w:val="auto"/>
                <w:lang w:val="en-US" w:eastAsia="zh-CN"/>
              </w:rPr>
            </w:pPr>
          </w:p>
        </w:tc>
        <w:tc>
          <w:tcPr>
            <w:tcW w:w="564" w:type="pc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0~0.5m</w:t>
            </w:r>
          </w:p>
        </w:tc>
        <w:tc>
          <w:tcPr>
            <w:tcW w:w="538" w:type="pc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0~0.5m</w:t>
            </w:r>
          </w:p>
        </w:tc>
        <w:tc>
          <w:tcPr>
            <w:tcW w:w="530"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.5m</w:t>
            </w:r>
          </w:p>
        </w:tc>
        <w:tc>
          <w:tcPr>
            <w:tcW w:w="664"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.5m</w:t>
            </w:r>
          </w:p>
        </w:tc>
        <w:tc>
          <w:tcPr>
            <w:tcW w:w="618" w:type="pct"/>
            <w:noWrap w:val="0"/>
            <w:vAlign w:val="center"/>
          </w:tcPr>
          <w:p>
            <w:pPr>
              <w:spacing w:line="300" w:lineRule="exact"/>
              <w:jc w:val="center"/>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pH值</w:t>
            </w:r>
          </w:p>
        </w:tc>
        <w:tc>
          <w:tcPr>
            <w:tcW w:w="550"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无量纲</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7.79</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8.01</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7.99</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8.16</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8.30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铜</w:t>
            </w:r>
          </w:p>
        </w:tc>
        <w:tc>
          <w:tcPr>
            <w:tcW w:w="550"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12</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13</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17</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11</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镍</w:t>
            </w:r>
          </w:p>
        </w:tc>
        <w:tc>
          <w:tcPr>
            <w:tcW w:w="550" w:type="pct"/>
            <w:noWrap w:val="0"/>
            <w:vAlign w:val="center"/>
          </w:tcPr>
          <w:p>
            <w:pPr>
              <w:tabs>
                <w:tab w:val="center" w:pos="732"/>
              </w:tabs>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21</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21</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27</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21</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六价铬</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总</w:t>
            </w:r>
            <w:r>
              <w:rPr>
                <w:rFonts w:hint="default" w:ascii="Times New Roman" w:hAnsi="Times New Roman" w:cs="Times New Roman"/>
                <w:szCs w:val="21"/>
                <w:lang w:val="en-US" w:eastAsia="zh-CN"/>
              </w:rPr>
              <w:t>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6.82</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7.62</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6.98</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9.81</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8.03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总</w:t>
            </w:r>
            <w:r>
              <w:rPr>
                <w:rFonts w:hint="default" w:ascii="Times New Roman" w:hAnsi="Times New Roman" w:cs="Times New Roman"/>
                <w:szCs w:val="21"/>
              </w:rPr>
              <w:t>汞</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0.034</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0.061</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0.053</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0.036</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铅</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22.7</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22.0</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42.0</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22.1</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镉</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0.036</w:t>
            </w:r>
          </w:p>
        </w:tc>
        <w:tc>
          <w:tcPr>
            <w:tcW w:w="53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0.053</w:t>
            </w:r>
          </w:p>
        </w:tc>
        <w:tc>
          <w:tcPr>
            <w:tcW w:w="53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0.217</w:t>
            </w:r>
          </w:p>
        </w:tc>
        <w:tc>
          <w:tcPr>
            <w:tcW w:w="66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0.041</w:t>
            </w:r>
          </w:p>
        </w:tc>
        <w:tc>
          <w:tcPr>
            <w:tcW w:w="618"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氰化物</w:t>
            </w:r>
          </w:p>
        </w:tc>
        <w:tc>
          <w:tcPr>
            <w:tcW w:w="550" w:type="pct"/>
            <w:noWrap w:val="0"/>
            <w:vAlign w:val="center"/>
          </w:tcPr>
          <w:p>
            <w:pPr>
              <w:tabs>
                <w:tab w:val="center" w:pos="732"/>
              </w:tabs>
              <w:spacing w:line="30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38"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30"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6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18"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石油烃（C10-C40）</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38"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30"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64"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18"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33"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N,N-二甲基甲酰胺</w:t>
            </w:r>
          </w:p>
        </w:tc>
        <w:tc>
          <w:tcPr>
            <w:tcW w:w="550" w:type="pct"/>
            <w:noWrap w:val="0"/>
            <w:vAlign w:val="center"/>
          </w:tcPr>
          <w:p>
            <w:pPr>
              <w:tabs>
                <w:tab w:val="center" w:pos="732"/>
              </w:tabs>
              <w:spacing w:line="30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mg/kg</w:t>
            </w:r>
          </w:p>
        </w:tc>
        <w:tc>
          <w:tcPr>
            <w:tcW w:w="56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38"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30"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6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18"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restar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挥发性有机物</w:t>
            </w: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氯甲烷</w:t>
            </w:r>
          </w:p>
        </w:tc>
        <w:tc>
          <w:tcPr>
            <w:tcW w:w="550" w:type="pct"/>
            <w:noWrap w:val="0"/>
            <w:vAlign w:val="center"/>
          </w:tcPr>
          <w:p>
            <w:pPr>
              <w:tabs>
                <w:tab w:val="center" w:pos="732"/>
              </w:tabs>
              <w:spacing w:line="30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氯乙烯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1，1-二氯乙烯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二氯甲烷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反式-1，2-二氯乙烯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1，1-二氯乙烷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顺式-1，2-二氯乙烯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氯仿</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1，1，1-三氯乙烷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四氯化碳</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1，2-二氯乙烷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三氯乙烯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1，2-二氯丙烷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甲苯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1，1，2-三氯乙烷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四氯乙烯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1，1，1，2-四氯乙烷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乙苯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间，对-二甲苯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邻-二甲苯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苯乙烯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1，1，2，2-四氯乙烷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1，2，3-三氯丙烷</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1，4-二氯苯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1，2-二氯苯</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restar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半挥发性有机物</w:t>
            </w: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2-氯苯酚</w:t>
            </w:r>
          </w:p>
        </w:tc>
        <w:tc>
          <w:tcPr>
            <w:tcW w:w="550"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 xml:space="preserve">硝基苯 </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4"/>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萘</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a</w:t>
            </w:r>
            <w:r>
              <w:rPr>
                <w:rFonts w:hint="eastAsia" w:ascii="Times New Roman" w:hAnsi="Times New Roman" w:cs="Times New Roman"/>
                <w:szCs w:val="21"/>
                <w:lang w:val="en-US" w:eastAsia="zh-CN"/>
              </w:rPr>
              <w:t>]</w:t>
            </w:r>
            <w:r>
              <w:rPr>
                <w:rFonts w:hint="default" w:ascii="Times New Roman" w:hAnsi="Times New Roman" w:cs="Times New Roman"/>
                <w:szCs w:val="21"/>
              </w:rPr>
              <w:t>蒽</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䓛</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b</w:t>
            </w:r>
            <w:r>
              <w:rPr>
                <w:rFonts w:hint="eastAsia" w:ascii="Times New Roman" w:hAnsi="Times New Roman" w:cs="Times New Roman"/>
                <w:szCs w:val="21"/>
                <w:lang w:val="en-US" w:eastAsia="zh-CN"/>
              </w:rPr>
              <w:t>]</w:t>
            </w:r>
            <w:r>
              <w:rPr>
                <w:rFonts w:hint="default" w:ascii="Times New Roman" w:hAnsi="Times New Roman" w:cs="Times New Roman"/>
                <w:szCs w:val="21"/>
              </w:rPr>
              <w:t>荧蒽</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k</w:t>
            </w:r>
            <w:r>
              <w:rPr>
                <w:rFonts w:hint="eastAsia" w:ascii="Times New Roman" w:hAnsi="Times New Roman" w:cs="Times New Roman"/>
                <w:szCs w:val="21"/>
                <w:lang w:val="en-US" w:eastAsia="zh-CN"/>
              </w:rPr>
              <w:t>]</w:t>
            </w:r>
            <w:r>
              <w:rPr>
                <w:rFonts w:hint="default" w:ascii="Times New Roman" w:hAnsi="Times New Roman" w:cs="Times New Roman"/>
                <w:szCs w:val="21"/>
              </w:rPr>
              <w:t>荧蒽</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a</w:t>
            </w:r>
            <w:r>
              <w:rPr>
                <w:rFonts w:hint="eastAsia" w:ascii="Times New Roman" w:hAnsi="Times New Roman" w:cs="Times New Roman"/>
                <w:szCs w:val="21"/>
                <w:lang w:val="en-US" w:eastAsia="zh-CN"/>
              </w:rPr>
              <w:t>]</w:t>
            </w:r>
            <w:r>
              <w:rPr>
                <w:rFonts w:hint="default" w:ascii="Times New Roman" w:hAnsi="Times New Roman" w:cs="Times New Roman"/>
                <w:szCs w:val="21"/>
              </w:rPr>
              <w:t>芘</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茚并</w:t>
            </w:r>
            <w:r>
              <w:rPr>
                <w:rFonts w:hint="eastAsia" w:ascii="Times New Roman" w:hAnsi="Times New Roman" w:cs="Times New Roman"/>
                <w:szCs w:val="21"/>
                <w:lang w:val="en-US" w:eastAsia="zh-CN"/>
              </w:rPr>
              <w:t>[</w:t>
            </w:r>
            <w:r>
              <w:rPr>
                <w:rFonts w:hint="default" w:ascii="Times New Roman" w:hAnsi="Times New Roman" w:cs="Times New Roman"/>
                <w:szCs w:val="21"/>
              </w:rPr>
              <w:t>1</w:t>
            </w:r>
            <w:r>
              <w:rPr>
                <w:rFonts w:hint="eastAsia" w:ascii="Times New Roman" w:hAnsi="Times New Roman" w:cs="Times New Roman"/>
                <w:szCs w:val="21"/>
                <w:lang w:val="en-US" w:eastAsia="zh-CN"/>
              </w:rPr>
              <w:t>,</w:t>
            </w:r>
            <w:r>
              <w:rPr>
                <w:rFonts w:hint="default" w:ascii="Times New Roman" w:hAnsi="Times New Roman" w:cs="Times New Roman"/>
                <w:szCs w:val="21"/>
              </w:rPr>
              <w:t>2</w:t>
            </w:r>
            <w:r>
              <w:rPr>
                <w:rFonts w:hint="eastAsia" w:ascii="Times New Roman" w:hAnsi="Times New Roman" w:cs="Times New Roman"/>
                <w:szCs w:val="21"/>
                <w:lang w:val="en-US" w:eastAsia="zh-CN"/>
              </w:rPr>
              <w:t>,</w:t>
            </w:r>
            <w:r>
              <w:rPr>
                <w:rFonts w:hint="default" w:ascii="Times New Roman" w:hAnsi="Times New Roman" w:cs="Times New Roman"/>
                <w:szCs w:val="21"/>
              </w:rPr>
              <w:t>3-cd</w:t>
            </w:r>
            <w:r>
              <w:rPr>
                <w:rFonts w:hint="eastAsia" w:ascii="Times New Roman" w:hAnsi="Times New Roman" w:cs="Times New Roman"/>
                <w:szCs w:val="21"/>
                <w:lang w:val="en-US" w:eastAsia="zh-CN"/>
              </w:rPr>
              <w:t>]</w:t>
            </w:r>
            <w:r>
              <w:rPr>
                <w:rFonts w:hint="default" w:ascii="Times New Roman" w:hAnsi="Times New Roman" w:cs="Times New Roman"/>
                <w:szCs w:val="21"/>
              </w:rPr>
              <w:t>芘</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二苯并</w:t>
            </w:r>
            <w:r>
              <w:rPr>
                <w:rFonts w:hint="eastAsia" w:ascii="Times New Roman" w:hAnsi="Times New Roman" w:cs="Times New Roman"/>
                <w:szCs w:val="21"/>
                <w:lang w:val="en-US" w:eastAsia="zh-CN"/>
              </w:rPr>
              <w:t>[</w:t>
            </w:r>
            <w:r>
              <w:rPr>
                <w:rFonts w:hint="default" w:ascii="Times New Roman" w:hAnsi="Times New Roman" w:cs="Times New Roman"/>
                <w:szCs w:val="21"/>
              </w:rPr>
              <w:t>a</w:t>
            </w:r>
            <w:r>
              <w:rPr>
                <w:rFonts w:hint="eastAsia" w:ascii="Times New Roman" w:hAnsi="Times New Roman" w:cs="Times New Roman"/>
                <w:szCs w:val="21"/>
                <w:lang w:val="en-US" w:eastAsia="zh-CN"/>
              </w:rPr>
              <w:t>,</w:t>
            </w:r>
            <w:r>
              <w:rPr>
                <w:rFonts w:hint="default" w:ascii="Times New Roman" w:hAnsi="Times New Roman" w:cs="Times New Roman"/>
                <w:szCs w:val="21"/>
              </w:rPr>
              <w:t>h</w:t>
            </w:r>
            <w:r>
              <w:rPr>
                <w:rFonts w:hint="eastAsia" w:ascii="Times New Roman" w:hAnsi="Times New Roman" w:cs="Times New Roman"/>
                <w:szCs w:val="21"/>
                <w:lang w:val="en-US" w:eastAsia="zh-CN"/>
              </w:rPr>
              <w:t>]</w:t>
            </w:r>
            <w:r>
              <w:rPr>
                <w:rFonts w:hint="default" w:ascii="Times New Roman" w:hAnsi="Times New Roman" w:cs="Times New Roman"/>
                <w:szCs w:val="21"/>
              </w:rPr>
              <w:t>蒽</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67"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165"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苯胺</w:t>
            </w:r>
          </w:p>
        </w:tc>
        <w:tc>
          <w:tcPr>
            <w:tcW w:w="550"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56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8"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3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6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18"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bl>
    <w:p>
      <w:pPr>
        <w:spacing w:line="460" w:lineRule="exact"/>
        <w:ind w:firstLine="482" w:firstLineChars="200"/>
        <w:jc w:val="center"/>
        <w:rPr>
          <w:rFonts w:hint="default" w:asciiTheme="minorEastAsia" w:hAnsiTheme="minorEastAsia" w:cstheme="minorEastAsia"/>
          <w:color w:val="auto"/>
          <w:sz w:val="24"/>
          <w:szCs w:val="24"/>
          <w:lang w:val="en-US" w:eastAsia="zh-CN"/>
        </w:rPr>
      </w:pPr>
      <w:r>
        <w:rPr>
          <w:rFonts w:hint="eastAsia" w:asciiTheme="minorEastAsia" w:hAnsiTheme="minorEastAsia" w:cstheme="minorEastAsia"/>
          <w:b/>
          <w:bCs/>
          <w:color w:val="auto"/>
          <w:sz w:val="24"/>
          <w:szCs w:val="24"/>
          <w:lang w:val="en-US" w:eastAsia="zh-CN"/>
        </w:rPr>
        <w:t>续表</w:t>
      </w:r>
      <w:r>
        <w:rPr>
          <w:rFonts w:hint="default" w:ascii="Times New Roman" w:hAnsi="Times New Roman" w:cs="Times New Roman"/>
          <w:b/>
          <w:bCs/>
          <w:color w:val="auto"/>
          <w:sz w:val="24"/>
          <w:szCs w:val="24"/>
          <w:lang w:val="en-US" w:eastAsia="zh-CN"/>
        </w:rPr>
        <w:t xml:space="preserve">8.1-2 </w:t>
      </w:r>
      <w:r>
        <w:rPr>
          <w:rFonts w:hint="eastAsia" w:asciiTheme="minorEastAsia" w:hAnsiTheme="minorEastAsia" w:cstheme="minorEastAsia"/>
          <w:b/>
          <w:bCs/>
          <w:color w:val="auto"/>
          <w:sz w:val="24"/>
          <w:szCs w:val="24"/>
          <w:lang w:val="en-US" w:eastAsia="zh-CN"/>
        </w:rPr>
        <w:t>土壤监测结果</w:t>
      </w:r>
    </w:p>
    <w:tbl>
      <w:tblPr>
        <w:tblStyle w:val="17"/>
        <w:tblW w:w="47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2"/>
        <w:gridCol w:w="2358"/>
        <w:gridCol w:w="1112"/>
        <w:gridCol w:w="1142"/>
        <w:gridCol w:w="1334"/>
        <w:gridCol w:w="1010"/>
        <w:gridCol w:w="11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749" w:type="pct"/>
            <w:gridSpan w:val="2"/>
            <w:vMerge w:val="restar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检测项目</w:t>
            </w:r>
          </w:p>
        </w:tc>
        <w:tc>
          <w:tcPr>
            <w:tcW w:w="627" w:type="pct"/>
            <w:vMerge w:val="restar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单位</w:t>
            </w:r>
          </w:p>
        </w:tc>
        <w:tc>
          <w:tcPr>
            <w:tcW w:w="644" w:type="pc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w:t>
            </w:r>
            <w:r>
              <w:rPr>
                <w:rFonts w:hint="eastAsia" w:ascii="Times New Roman" w:hAnsi="Times New Roman" w:cs="Times New Roman"/>
                <w:color w:val="auto"/>
                <w:lang w:val="en-US" w:eastAsia="zh-CN"/>
              </w:rPr>
              <w:t>6</w:t>
            </w:r>
            <w:r>
              <w:rPr>
                <w:rFonts w:hint="default" w:ascii="Times New Roman" w:hAnsi="Times New Roman" w:cs="Times New Roman"/>
                <w:color w:val="auto"/>
                <w:lang w:val="en-US" w:eastAsia="zh-CN"/>
              </w:rPr>
              <w:t xml:space="preserve"> </w:t>
            </w:r>
          </w:p>
        </w:tc>
        <w:tc>
          <w:tcPr>
            <w:tcW w:w="752"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T6（平行）</w:t>
            </w:r>
          </w:p>
        </w:tc>
        <w:tc>
          <w:tcPr>
            <w:tcW w:w="570"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T7</w:t>
            </w:r>
          </w:p>
        </w:tc>
        <w:tc>
          <w:tcPr>
            <w:tcW w:w="654"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tblHeader/>
          <w:jc w:val="center"/>
        </w:trPr>
        <w:tc>
          <w:tcPr>
            <w:tcW w:w="1749" w:type="pct"/>
            <w:gridSpan w:val="2"/>
            <w:vMerge w:val="continue"/>
            <w:noWrap w:val="0"/>
            <w:vAlign w:val="center"/>
          </w:tcPr>
          <w:p>
            <w:pPr>
              <w:spacing w:line="300" w:lineRule="exact"/>
              <w:jc w:val="center"/>
              <w:rPr>
                <w:rFonts w:hint="default" w:ascii="Times New Roman" w:hAnsi="Times New Roman" w:cs="Times New Roman"/>
                <w:color w:val="auto"/>
                <w:lang w:val="en-US" w:eastAsia="zh-CN"/>
              </w:rPr>
            </w:pPr>
          </w:p>
        </w:tc>
        <w:tc>
          <w:tcPr>
            <w:tcW w:w="627" w:type="pct"/>
            <w:vMerge w:val="continue"/>
            <w:noWrap w:val="0"/>
            <w:vAlign w:val="center"/>
          </w:tcPr>
          <w:p>
            <w:pPr>
              <w:spacing w:line="300" w:lineRule="exact"/>
              <w:jc w:val="center"/>
              <w:rPr>
                <w:rFonts w:hint="default" w:ascii="Times New Roman" w:hAnsi="Times New Roman" w:cs="Times New Roman"/>
                <w:color w:val="auto"/>
                <w:lang w:val="en-US" w:eastAsia="zh-CN"/>
              </w:rPr>
            </w:pPr>
          </w:p>
        </w:tc>
        <w:tc>
          <w:tcPr>
            <w:tcW w:w="644" w:type="pc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0~0.5m</w:t>
            </w:r>
          </w:p>
        </w:tc>
        <w:tc>
          <w:tcPr>
            <w:tcW w:w="752" w:type="pct"/>
            <w:noWrap w:val="0"/>
            <w:vAlign w:val="center"/>
          </w:tcPr>
          <w:p>
            <w:pPr>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0~0.5m</w:t>
            </w:r>
          </w:p>
        </w:tc>
        <w:tc>
          <w:tcPr>
            <w:tcW w:w="570"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.5m</w:t>
            </w:r>
          </w:p>
        </w:tc>
        <w:tc>
          <w:tcPr>
            <w:tcW w:w="654" w:type="pct"/>
            <w:noWrap w:val="0"/>
            <w:vAlign w:val="center"/>
          </w:tcPr>
          <w:p>
            <w:pPr>
              <w:spacing w:line="300" w:lineRule="exact"/>
              <w:jc w:val="center"/>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0</w:t>
            </w:r>
            <w:r>
              <w:rPr>
                <w:rFonts w:hint="default" w:ascii="Times New Roman" w:hAnsi="Times New Roman" w:cs="Times New Roman"/>
                <w:color w:val="auto"/>
                <w:lang w:val="en-US" w:eastAsia="zh-CN"/>
              </w:rPr>
              <w:t>.5m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pH值</w:t>
            </w:r>
          </w:p>
        </w:tc>
        <w:tc>
          <w:tcPr>
            <w:tcW w:w="627"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无量纲</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7.70</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7.77</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8.35</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8.38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铜</w:t>
            </w:r>
          </w:p>
        </w:tc>
        <w:tc>
          <w:tcPr>
            <w:tcW w:w="627"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13</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14</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13</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镍</w:t>
            </w:r>
          </w:p>
        </w:tc>
        <w:tc>
          <w:tcPr>
            <w:tcW w:w="627" w:type="pct"/>
            <w:noWrap w:val="0"/>
            <w:vAlign w:val="center"/>
          </w:tcPr>
          <w:p>
            <w:pPr>
              <w:tabs>
                <w:tab w:val="center" w:pos="732"/>
              </w:tabs>
              <w:spacing w:line="300" w:lineRule="exact"/>
              <w:jc w:val="center"/>
              <w:rPr>
                <w:rFonts w:hint="default" w:ascii="Times New Roman" w:hAnsi="Times New Roman" w:cs="Times New Roman"/>
                <w:color w:val="auto"/>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21</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六价铬</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总</w:t>
            </w:r>
            <w:r>
              <w:rPr>
                <w:rFonts w:hint="default" w:ascii="Times New Roman" w:hAnsi="Times New Roman" w:cs="Times New Roman"/>
                <w:szCs w:val="21"/>
                <w:lang w:val="en-US" w:eastAsia="zh-CN"/>
              </w:rPr>
              <w:t>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7.87</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7.84</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7.21</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总</w:t>
            </w:r>
            <w:r>
              <w:rPr>
                <w:rFonts w:hint="default" w:ascii="Times New Roman" w:hAnsi="Times New Roman" w:cs="Times New Roman"/>
                <w:szCs w:val="21"/>
              </w:rPr>
              <w:t>汞</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0.030</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0.027</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0.032</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铅</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23.3</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24.0</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22.8</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镉</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0.038</w:t>
            </w:r>
          </w:p>
        </w:tc>
        <w:tc>
          <w:tcPr>
            <w:tcW w:w="752"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0.048</w:t>
            </w:r>
          </w:p>
        </w:tc>
        <w:tc>
          <w:tcPr>
            <w:tcW w:w="570"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0.040</w:t>
            </w:r>
          </w:p>
        </w:tc>
        <w:tc>
          <w:tcPr>
            <w:tcW w:w="654" w:type="pct"/>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0.051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氰化物</w:t>
            </w:r>
          </w:p>
        </w:tc>
        <w:tc>
          <w:tcPr>
            <w:tcW w:w="627" w:type="pct"/>
            <w:noWrap w:val="0"/>
            <w:vAlign w:val="center"/>
          </w:tcPr>
          <w:p>
            <w:pPr>
              <w:tabs>
                <w:tab w:val="center" w:pos="732"/>
              </w:tabs>
              <w:spacing w:line="30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752"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70"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5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石油烃（C10-C40）</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752"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70"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54"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749" w:type="pct"/>
            <w:gridSpan w:val="2"/>
            <w:noWrap w:val="0"/>
            <w:vAlign w:val="center"/>
          </w:tcPr>
          <w:p>
            <w:pPr>
              <w:spacing w:before="48" w:beforeLines="2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N,N-二甲基甲酰胺</w:t>
            </w:r>
          </w:p>
        </w:tc>
        <w:tc>
          <w:tcPr>
            <w:tcW w:w="627" w:type="pct"/>
            <w:noWrap w:val="0"/>
            <w:vAlign w:val="center"/>
          </w:tcPr>
          <w:p>
            <w:pPr>
              <w:tabs>
                <w:tab w:val="center" w:pos="732"/>
              </w:tabs>
              <w:spacing w:line="30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mg/kg</w:t>
            </w:r>
          </w:p>
        </w:tc>
        <w:tc>
          <w:tcPr>
            <w:tcW w:w="64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752"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570"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c>
          <w:tcPr>
            <w:tcW w:w="654" w:type="pct"/>
            <w:noWrap w:val="0"/>
            <w:vAlign w:val="center"/>
          </w:tcPr>
          <w:p>
            <w:pPr>
              <w:spacing w:before="48" w:beforeLines="20"/>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restar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挥发性有机物</w:t>
            </w: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氯甲烷</w:t>
            </w:r>
          </w:p>
        </w:tc>
        <w:tc>
          <w:tcPr>
            <w:tcW w:w="627" w:type="pct"/>
            <w:noWrap w:val="0"/>
            <w:vAlign w:val="center"/>
          </w:tcPr>
          <w:p>
            <w:pPr>
              <w:tabs>
                <w:tab w:val="center" w:pos="732"/>
              </w:tabs>
              <w:spacing w:line="300" w:lineRule="exact"/>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氯乙烯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1，1-二氯乙烯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二氯甲烷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反式-1，2-二氯乙烯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1，1-二氯乙烷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顺式-1，2-二氯乙烯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氯仿</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1，1，1-三氯乙烷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四氯化碳</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1，2-二氯乙烷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三氯乙烯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1，2-二氯丙烷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甲苯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1，1，2-三氯乙烷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四氯乙烯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氯苯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1，1，1，2-四氯乙烷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乙苯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间，对-二甲苯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邻-二甲苯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苯乙烯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1，1，2，2-四氯乙烷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1，2，3-三氯丙烷</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1，4-二氯苯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1，2-二氯苯</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μg/kg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restart"/>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半挥发性有机物</w:t>
            </w: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2-氯苯酚</w:t>
            </w:r>
          </w:p>
        </w:tc>
        <w:tc>
          <w:tcPr>
            <w:tcW w:w="627" w:type="pct"/>
            <w:noWrap w:val="0"/>
            <w:vAlign w:val="center"/>
          </w:tcPr>
          <w:p>
            <w:pPr>
              <w:spacing w:before="48" w:beforeLines="2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 xml:space="preserve">硝基苯 </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4"/>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萘</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a</w:t>
            </w:r>
            <w:r>
              <w:rPr>
                <w:rFonts w:hint="eastAsia" w:ascii="Times New Roman" w:hAnsi="Times New Roman" w:cs="Times New Roman"/>
                <w:szCs w:val="21"/>
                <w:lang w:val="en-US" w:eastAsia="zh-CN"/>
              </w:rPr>
              <w:t>]</w:t>
            </w:r>
            <w:r>
              <w:rPr>
                <w:rFonts w:hint="default" w:ascii="Times New Roman" w:hAnsi="Times New Roman" w:cs="Times New Roman"/>
                <w:szCs w:val="21"/>
              </w:rPr>
              <w:t>蒽</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䓛</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b</w:t>
            </w:r>
            <w:r>
              <w:rPr>
                <w:rFonts w:hint="eastAsia" w:ascii="Times New Roman" w:hAnsi="Times New Roman" w:cs="Times New Roman"/>
                <w:szCs w:val="21"/>
                <w:lang w:val="en-US" w:eastAsia="zh-CN"/>
              </w:rPr>
              <w:t>]</w:t>
            </w:r>
            <w:r>
              <w:rPr>
                <w:rFonts w:hint="default" w:ascii="Times New Roman" w:hAnsi="Times New Roman" w:cs="Times New Roman"/>
                <w:szCs w:val="21"/>
              </w:rPr>
              <w:t>荧蒽</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k</w:t>
            </w:r>
            <w:r>
              <w:rPr>
                <w:rFonts w:hint="eastAsia" w:ascii="Times New Roman" w:hAnsi="Times New Roman" w:cs="Times New Roman"/>
                <w:szCs w:val="21"/>
                <w:lang w:val="en-US" w:eastAsia="zh-CN"/>
              </w:rPr>
              <w:t>]</w:t>
            </w:r>
            <w:r>
              <w:rPr>
                <w:rFonts w:hint="default" w:ascii="Times New Roman" w:hAnsi="Times New Roman" w:cs="Times New Roman"/>
                <w:szCs w:val="21"/>
              </w:rPr>
              <w:t>荧蒽</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苯并</w:t>
            </w:r>
            <w:r>
              <w:rPr>
                <w:rFonts w:hint="eastAsia" w:ascii="Times New Roman" w:hAnsi="Times New Roman" w:cs="Times New Roman"/>
                <w:szCs w:val="21"/>
                <w:lang w:val="en-US" w:eastAsia="zh-CN"/>
              </w:rPr>
              <w:t>[</w:t>
            </w:r>
            <w:r>
              <w:rPr>
                <w:rFonts w:hint="default" w:ascii="Times New Roman" w:hAnsi="Times New Roman" w:cs="Times New Roman"/>
                <w:szCs w:val="21"/>
              </w:rPr>
              <w:t>a</w:t>
            </w:r>
            <w:r>
              <w:rPr>
                <w:rFonts w:hint="eastAsia" w:ascii="Times New Roman" w:hAnsi="Times New Roman" w:cs="Times New Roman"/>
                <w:szCs w:val="21"/>
                <w:lang w:val="en-US" w:eastAsia="zh-CN"/>
              </w:rPr>
              <w:t>]</w:t>
            </w:r>
            <w:r>
              <w:rPr>
                <w:rFonts w:hint="default" w:ascii="Times New Roman" w:hAnsi="Times New Roman" w:cs="Times New Roman"/>
                <w:szCs w:val="21"/>
              </w:rPr>
              <w:t>芘</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茚并</w:t>
            </w:r>
            <w:r>
              <w:rPr>
                <w:rFonts w:hint="eastAsia" w:ascii="Times New Roman" w:hAnsi="Times New Roman" w:cs="Times New Roman"/>
                <w:szCs w:val="21"/>
                <w:lang w:val="en-US" w:eastAsia="zh-CN"/>
              </w:rPr>
              <w:t>[</w:t>
            </w:r>
            <w:r>
              <w:rPr>
                <w:rFonts w:hint="default" w:ascii="Times New Roman" w:hAnsi="Times New Roman" w:cs="Times New Roman"/>
                <w:szCs w:val="21"/>
              </w:rPr>
              <w:t>1</w:t>
            </w:r>
            <w:r>
              <w:rPr>
                <w:rFonts w:hint="eastAsia" w:ascii="Times New Roman" w:hAnsi="Times New Roman" w:cs="Times New Roman"/>
                <w:szCs w:val="21"/>
                <w:lang w:val="en-US" w:eastAsia="zh-CN"/>
              </w:rPr>
              <w:t>,</w:t>
            </w:r>
            <w:r>
              <w:rPr>
                <w:rFonts w:hint="default" w:ascii="Times New Roman" w:hAnsi="Times New Roman" w:cs="Times New Roman"/>
                <w:szCs w:val="21"/>
              </w:rPr>
              <w:t>2</w:t>
            </w:r>
            <w:r>
              <w:rPr>
                <w:rFonts w:hint="eastAsia" w:ascii="Times New Roman" w:hAnsi="Times New Roman" w:cs="Times New Roman"/>
                <w:szCs w:val="21"/>
                <w:lang w:val="en-US" w:eastAsia="zh-CN"/>
              </w:rPr>
              <w:t>,</w:t>
            </w:r>
            <w:r>
              <w:rPr>
                <w:rFonts w:hint="default" w:ascii="Times New Roman" w:hAnsi="Times New Roman" w:cs="Times New Roman"/>
                <w:szCs w:val="21"/>
              </w:rPr>
              <w:t>3-cd</w:t>
            </w:r>
            <w:r>
              <w:rPr>
                <w:rFonts w:hint="eastAsia" w:ascii="Times New Roman" w:hAnsi="Times New Roman" w:cs="Times New Roman"/>
                <w:szCs w:val="21"/>
                <w:lang w:val="en-US" w:eastAsia="zh-CN"/>
              </w:rPr>
              <w:t>]</w:t>
            </w:r>
            <w:r>
              <w:rPr>
                <w:rFonts w:hint="default" w:ascii="Times New Roman" w:hAnsi="Times New Roman" w:cs="Times New Roman"/>
                <w:szCs w:val="21"/>
              </w:rPr>
              <w:t>芘</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二苯并</w:t>
            </w:r>
            <w:r>
              <w:rPr>
                <w:rFonts w:hint="eastAsia" w:ascii="Times New Roman" w:hAnsi="Times New Roman" w:cs="Times New Roman"/>
                <w:szCs w:val="21"/>
                <w:lang w:val="en-US" w:eastAsia="zh-CN"/>
              </w:rPr>
              <w:t>[</w:t>
            </w:r>
            <w:r>
              <w:rPr>
                <w:rFonts w:hint="default" w:ascii="Times New Roman" w:hAnsi="Times New Roman" w:cs="Times New Roman"/>
                <w:szCs w:val="21"/>
              </w:rPr>
              <w:t>a</w:t>
            </w:r>
            <w:r>
              <w:rPr>
                <w:rFonts w:hint="eastAsia" w:ascii="Times New Roman" w:hAnsi="Times New Roman" w:cs="Times New Roman"/>
                <w:szCs w:val="21"/>
                <w:lang w:val="en-US" w:eastAsia="zh-CN"/>
              </w:rPr>
              <w:t>,</w:t>
            </w:r>
            <w:r>
              <w:rPr>
                <w:rFonts w:hint="default" w:ascii="Times New Roman" w:hAnsi="Times New Roman" w:cs="Times New Roman"/>
                <w:szCs w:val="21"/>
              </w:rPr>
              <w:t>h</w:t>
            </w:r>
            <w:r>
              <w:rPr>
                <w:rFonts w:hint="eastAsia" w:ascii="Times New Roman" w:hAnsi="Times New Roman" w:cs="Times New Roman"/>
                <w:szCs w:val="21"/>
                <w:lang w:val="en-US" w:eastAsia="zh-CN"/>
              </w:rPr>
              <w:t>]</w:t>
            </w:r>
            <w:r>
              <w:rPr>
                <w:rFonts w:hint="default" w:ascii="Times New Roman" w:hAnsi="Times New Roman" w:cs="Times New Roman"/>
                <w:szCs w:val="21"/>
              </w:rPr>
              <w:t>蒽</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tblHeader/>
          <w:jc w:val="center"/>
        </w:trPr>
        <w:tc>
          <w:tcPr>
            <w:tcW w:w="418" w:type="pct"/>
            <w:vMerge w:val="continue"/>
            <w:noWrap w:val="0"/>
            <w:vAlign w:val="center"/>
          </w:tcPr>
          <w:p>
            <w:pPr>
              <w:tabs>
                <w:tab w:val="center" w:pos="732"/>
              </w:tabs>
              <w:spacing w:line="300" w:lineRule="exact"/>
              <w:jc w:val="center"/>
              <w:rPr>
                <w:rFonts w:hint="default" w:ascii="Times New Roman" w:hAnsi="Times New Roman" w:cs="Times New Roman" w:eastAsiaTheme="minorEastAsia"/>
                <w:color w:val="auto"/>
                <w:szCs w:val="21"/>
                <w:lang w:val="en-US" w:eastAsia="zh-CN"/>
              </w:rPr>
            </w:pPr>
          </w:p>
        </w:tc>
        <w:tc>
          <w:tcPr>
            <w:tcW w:w="1331" w:type="pct"/>
            <w:noWrap w:val="0"/>
            <w:vAlign w:val="center"/>
          </w:tcPr>
          <w:p>
            <w:pPr>
              <w:spacing w:before="48" w:beforeLines="20"/>
              <w:jc w:val="center"/>
              <w:rPr>
                <w:rFonts w:hint="default" w:ascii="Times New Roman" w:hAnsi="Times New Roman" w:cs="Times New Roman"/>
                <w:szCs w:val="21"/>
                <w:lang w:val="en-US" w:eastAsia="zh-CN"/>
              </w:rPr>
            </w:pPr>
            <w:r>
              <w:rPr>
                <w:rFonts w:hint="default" w:ascii="Times New Roman" w:hAnsi="Times New Roman" w:cs="Times New Roman"/>
                <w:szCs w:val="21"/>
              </w:rPr>
              <w:t>苯胺</w:t>
            </w:r>
          </w:p>
        </w:tc>
        <w:tc>
          <w:tcPr>
            <w:tcW w:w="627"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szCs w:val="21"/>
                <w:lang w:val="en-US" w:eastAsia="zh-CN"/>
              </w:rPr>
              <w:t>mg/kg</w:t>
            </w:r>
          </w:p>
        </w:tc>
        <w:tc>
          <w:tcPr>
            <w:tcW w:w="644"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752" w:type="pct"/>
            <w:noWrap w:val="0"/>
            <w:vAlign w:val="center"/>
          </w:tcPr>
          <w:p>
            <w:pPr>
              <w:tabs>
                <w:tab w:val="center" w:pos="732"/>
              </w:tabs>
              <w:spacing w:line="300" w:lineRule="exact"/>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570"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c>
          <w:tcPr>
            <w:tcW w:w="654" w:type="pct"/>
            <w:noWrap w:val="0"/>
            <w:vAlign w:val="center"/>
          </w:tcPr>
          <w:p>
            <w:pPr>
              <w:tabs>
                <w:tab w:val="center" w:pos="732"/>
              </w:tabs>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color w:val="auto"/>
                <w:szCs w:val="21"/>
                <w:lang w:val="en-US" w:eastAsia="zh-CN"/>
              </w:rPr>
              <w:t>ND</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3）监测结果分析</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本次调查共分析</w:t>
      </w:r>
      <w:r>
        <w:rPr>
          <w:rFonts w:hint="default" w:ascii="Times New Roman" w:hAnsi="Times New Roman" w:cs="Times New Roman"/>
          <w:color w:val="auto"/>
          <w:sz w:val="24"/>
          <w:szCs w:val="24"/>
          <w:highlight w:val="none"/>
          <w:lang w:val="en-US" w:eastAsia="zh-CN"/>
        </w:rPr>
        <w:t>土壤样品</w:t>
      </w:r>
      <w:r>
        <w:rPr>
          <w:rFonts w:hint="eastAsia"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lang w:val="en-US" w:eastAsia="zh-CN"/>
        </w:rPr>
        <w:t>个</w:t>
      </w:r>
      <w:r>
        <w:rPr>
          <w:rFonts w:hint="eastAsia" w:ascii="Times New Roman" w:hAnsi="Times New Roman" w:cs="Times New Roman"/>
          <w:color w:val="auto"/>
          <w:sz w:val="24"/>
          <w:szCs w:val="24"/>
          <w:lang w:val="en-US" w:eastAsia="zh-CN"/>
        </w:rPr>
        <w:t>（含1个平行样）</w:t>
      </w:r>
      <w:r>
        <w:rPr>
          <w:rFonts w:hint="default" w:ascii="Times New Roman" w:hAnsi="Times New Roman" w:cs="Times New Roman"/>
          <w:color w:val="auto"/>
          <w:sz w:val="24"/>
          <w:szCs w:val="24"/>
          <w:lang w:val="en-US" w:eastAsia="zh-CN"/>
        </w:rPr>
        <w:t>，具体检出情况描述如下：</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pH值：该场地土壤的pH值范围在</w:t>
      </w:r>
      <w:r>
        <w:rPr>
          <w:rFonts w:hint="eastAsia" w:ascii="Times New Roman" w:hAnsi="Times New Roman" w:cs="Times New Roman"/>
          <w:color w:val="auto"/>
          <w:sz w:val="24"/>
          <w:szCs w:val="24"/>
          <w:lang w:val="en-US" w:eastAsia="zh-CN"/>
        </w:rPr>
        <w:t>7.70</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8.38</w:t>
      </w:r>
      <w:r>
        <w:rPr>
          <w:rFonts w:hint="default" w:ascii="Times New Roman" w:hAnsi="Times New Roman" w:cs="Times New Roman"/>
          <w:color w:val="auto"/>
          <w:sz w:val="24"/>
          <w:szCs w:val="24"/>
          <w:lang w:val="en-US" w:eastAsia="zh-CN"/>
        </w:rPr>
        <w:t>之间，土壤样品pH值呈</w:t>
      </w:r>
      <w:r>
        <w:rPr>
          <w:rFonts w:hint="eastAsia" w:ascii="Times New Roman" w:hAnsi="Times New Roman" w:cs="Times New Roman"/>
          <w:color w:val="auto"/>
          <w:sz w:val="24"/>
          <w:szCs w:val="24"/>
          <w:lang w:val="en-US" w:eastAsia="zh-CN"/>
        </w:rPr>
        <w:t>中</w:t>
      </w:r>
      <w:r>
        <w:rPr>
          <w:rFonts w:hint="default" w:ascii="Times New Roman" w:hAnsi="Times New Roman" w:cs="Times New Roman"/>
          <w:color w:val="auto"/>
          <w:sz w:val="24"/>
          <w:szCs w:val="24"/>
          <w:lang w:val="en-US" w:eastAsia="zh-CN"/>
        </w:rPr>
        <w:t>性。</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重金属和无机物：本次地块</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lang w:val="en-US" w:eastAsia="zh-CN"/>
        </w:rPr>
        <w:t>个点位中，六价铬</w:t>
      </w:r>
      <w:r>
        <w:rPr>
          <w:rFonts w:hint="eastAsia" w:ascii="Times New Roman" w:hAnsi="Times New Roman" w:cs="Times New Roman"/>
          <w:color w:val="auto"/>
          <w:sz w:val="24"/>
          <w:szCs w:val="24"/>
          <w:lang w:val="en-US" w:eastAsia="zh-CN"/>
        </w:rPr>
        <w:t>均</w:t>
      </w:r>
      <w:r>
        <w:rPr>
          <w:rFonts w:hint="default" w:ascii="Times New Roman" w:hAnsi="Times New Roman" w:cs="Times New Roman"/>
          <w:color w:val="auto"/>
          <w:sz w:val="24"/>
          <w:szCs w:val="24"/>
          <w:lang w:val="en-US" w:eastAsia="zh-CN"/>
        </w:rPr>
        <w:t>未检出，铅、镉、汞、砷、铜、镍全部检出，检出浓度均未超出《土壤环境质量建设用地土壤污染风险管控标准（试行）（GB36600-2018）》表1中第二类用地风险筛选值。</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挥发性有机物：场地内挥发性有机物均未检出，检出率为0%，检出限均小于筛选值，均远低于《土壤环境质量建设用地土壤污染风险管控标准（试行）（GB36600-2018）》表1中第二类用地风险筛选值；</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半挥发性有机物：场地内半挥发性有机物均未检出，检出率为0%，检出限均小于筛选值，说明检测指标未超过《土壤环境质量建设用地土壤污染风险管控标准（试行）（GB36600-2018）》表1中第二类用地风险筛选值；</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特征因子</w:t>
      </w:r>
      <w:r>
        <w:rPr>
          <w:rFonts w:hint="default" w:ascii="Times New Roman" w:hAnsi="Times New Roman" w:cs="Times New Roman"/>
          <w:color w:val="auto"/>
          <w:sz w:val="24"/>
          <w:szCs w:val="24"/>
          <w:lang w:val="en-US" w:eastAsia="zh-CN"/>
        </w:rPr>
        <w:t>：场地内</w:t>
      </w:r>
      <w:r>
        <w:rPr>
          <w:rFonts w:hint="eastAsia" w:ascii="Times New Roman" w:hAnsi="Times New Roman" w:cs="Times New Roman"/>
          <w:color w:val="auto"/>
          <w:sz w:val="24"/>
          <w:szCs w:val="24"/>
          <w:lang w:val="en-US" w:eastAsia="zh-CN"/>
        </w:rPr>
        <w:t>氰化物、N,N-二甲基甲酰胺均</w:t>
      </w:r>
      <w:r>
        <w:rPr>
          <w:rFonts w:hint="default" w:ascii="Times New Roman" w:hAnsi="Times New Roman" w:cs="Times New Roman"/>
          <w:color w:val="auto"/>
          <w:sz w:val="24"/>
          <w:szCs w:val="24"/>
          <w:lang w:val="en-US" w:eastAsia="zh-CN"/>
        </w:rPr>
        <w:t>未检出，检出率为0%；</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石油烃类：现场采集的土壤样品中总石油烃（C10-C40）均未检出，检出率为0%，检出限均小于筛选值，说明检测指标未超过《土壤环境质量建设用地土壤污染风险管控标准（试行）（GB36600-2018）》表</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val="en-US" w:eastAsia="zh-CN"/>
        </w:rPr>
        <w:t>中第二类用地风险筛选值。</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sectPr>
          <w:pgSz w:w="11910" w:h="16840"/>
          <w:pgMar w:top="1420" w:right="1372" w:bottom="1160" w:left="1434" w:header="897" w:footer="975" w:gutter="0"/>
          <w:pgBorders>
            <w:top w:val="none" w:sz="0" w:space="0"/>
            <w:left w:val="none" w:sz="0" w:space="0"/>
            <w:bottom w:val="none" w:sz="0" w:space="0"/>
            <w:right w:val="none" w:sz="0" w:space="0"/>
          </w:pgBorders>
          <w:pgNumType w:fmt="decimal"/>
          <w:cols w:space="720" w:num="1"/>
        </w:sectPr>
      </w:pPr>
      <w:bookmarkStart w:id="63" w:name="_Toc7610"/>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default"/>
          <w:lang w:val="en-US" w:eastAsia="zh-CN"/>
        </w:rPr>
      </w:pPr>
      <w:bookmarkStart w:id="64" w:name="_Toc23152"/>
      <w:r>
        <w:rPr>
          <w:rFonts w:hint="eastAsia"/>
          <w:lang w:val="en-US" w:eastAsia="zh-CN"/>
        </w:rPr>
        <w:t>8.2地下水监测结果</w:t>
      </w:r>
      <w:bookmarkEnd w:id="63"/>
      <w:r>
        <w:rPr>
          <w:rFonts w:hint="eastAsia"/>
          <w:lang w:val="en-US" w:eastAsia="zh-CN"/>
        </w:rPr>
        <w:t>分析</w:t>
      </w:r>
      <w:bookmarkEnd w:id="64"/>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heme="minorEastAsia" w:hAnsiTheme="minorEastAsia" w:cstheme="minorEastAsia"/>
          <w:color w:val="auto"/>
          <w:sz w:val="24"/>
          <w:szCs w:val="24"/>
          <w:lang w:val="en-US" w:eastAsia="zh-CN"/>
        </w:rPr>
      </w:pPr>
      <w:r>
        <w:rPr>
          <w:rFonts w:hint="default" w:ascii="Times New Roman" w:hAnsi="Times New Roman" w:cs="Times New Roman"/>
          <w:color w:val="auto"/>
          <w:sz w:val="24"/>
          <w:szCs w:val="24"/>
          <w:lang w:val="en-US" w:eastAsia="zh-CN"/>
        </w:rPr>
        <w:t>1）分析方法</w:t>
      </w:r>
    </w:p>
    <w:p>
      <w:pPr>
        <w:keepNext w:val="0"/>
        <w:keepLines w:val="0"/>
        <w:widowControl/>
        <w:suppressLineNumbers w:val="0"/>
        <w:jc w:val="center"/>
        <w:rPr>
          <w:rFonts w:hint="eastAsia" w:ascii="宋体" w:eastAsia="宋体"/>
          <w:b/>
          <w:sz w:val="24"/>
        </w:rPr>
      </w:pPr>
      <w:r>
        <w:rPr>
          <w:rFonts w:hint="default" w:ascii="Times New Roman" w:hAnsi="Times New Roman" w:eastAsia="宋体" w:cs="Times New Roman"/>
          <w:b/>
          <w:sz w:val="24"/>
        </w:rPr>
        <w:t>表</w:t>
      </w:r>
      <w:r>
        <w:rPr>
          <w:rFonts w:hint="eastAsia" w:ascii="Times New Roman" w:hAnsi="Times New Roman" w:eastAsia="宋体" w:cs="Times New Roman"/>
          <w:b/>
          <w:sz w:val="24"/>
          <w:lang w:val="en-US" w:eastAsia="zh-CN"/>
        </w:rPr>
        <w:t>8.2-1</w:t>
      </w:r>
      <w:r>
        <w:rPr>
          <w:rFonts w:hint="default" w:ascii="Times New Roman" w:hAnsi="Times New Roman" w:eastAsia="宋体" w:cs="Times New Roman"/>
          <w:b/>
          <w:sz w:val="24"/>
        </w:rPr>
        <w:t xml:space="preserve"> 地</w:t>
      </w:r>
      <w:r>
        <w:rPr>
          <w:rFonts w:hint="eastAsia" w:ascii="宋体" w:eastAsia="宋体"/>
          <w:b/>
          <w:sz w:val="24"/>
        </w:rPr>
        <w:t>下水样品测试分析方法</w:t>
      </w:r>
    </w:p>
    <w:tbl>
      <w:tblPr>
        <w:tblStyle w:val="17"/>
        <w:tblW w:w="4996"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666"/>
        <w:gridCol w:w="2515"/>
        <w:gridCol w:w="1106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left w:val="nil"/>
              <w:bottom w:val="single" w:color="000000" w:sz="4" w:space="0"/>
              <w:right w:val="single" w:color="000000" w:sz="4" w:space="0"/>
            </w:tcBorders>
          </w:tcPr>
          <w:p>
            <w:pPr>
              <w:pStyle w:val="26"/>
              <w:spacing w:before="20"/>
              <w:ind w:left="123"/>
              <w:jc w:val="left"/>
              <w:rPr>
                <w:rFonts w:hint="default" w:ascii="Times New Roman" w:hAnsi="Times New Roman" w:eastAsia="宋体" w:cs="Times New Roman"/>
                <w:b/>
                <w:sz w:val="21"/>
              </w:rPr>
            </w:pPr>
            <w:r>
              <w:rPr>
                <w:rFonts w:hint="default" w:ascii="Times New Roman" w:hAnsi="Times New Roman" w:eastAsia="宋体" w:cs="Times New Roman"/>
                <w:b/>
                <w:sz w:val="21"/>
              </w:rPr>
              <w:t>序号</w:t>
            </w:r>
          </w:p>
        </w:tc>
        <w:tc>
          <w:tcPr>
            <w:tcW w:w="882" w:type="pct"/>
            <w:tcBorders>
              <w:left w:val="single" w:color="000000" w:sz="4" w:space="0"/>
              <w:bottom w:val="single" w:color="000000" w:sz="4" w:space="0"/>
              <w:right w:val="single" w:color="000000" w:sz="4" w:space="0"/>
            </w:tcBorders>
          </w:tcPr>
          <w:p>
            <w:pPr>
              <w:pStyle w:val="26"/>
              <w:spacing w:before="20"/>
              <w:ind w:left="116"/>
              <w:jc w:val="left"/>
              <w:rPr>
                <w:rFonts w:hint="default" w:ascii="Times New Roman" w:hAnsi="Times New Roman" w:eastAsia="宋体" w:cs="Times New Roman"/>
                <w:b/>
                <w:sz w:val="21"/>
              </w:rPr>
            </w:pPr>
            <w:r>
              <w:rPr>
                <w:rFonts w:hint="default" w:ascii="Times New Roman" w:hAnsi="Times New Roman" w:eastAsia="宋体" w:cs="Times New Roman"/>
                <w:b/>
                <w:sz w:val="21"/>
              </w:rPr>
              <w:t>污染物项目</w:t>
            </w:r>
          </w:p>
        </w:tc>
        <w:tc>
          <w:tcPr>
            <w:tcW w:w="3882" w:type="pct"/>
            <w:tcBorders>
              <w:left w:val="single" w:color="000000" w:sz="4" w:space="0"/>
              <w:bottom w:val="single" w:color="000000" w:sz="4" w:space="0"/>
              <w:right w:val="nil"/>
            </w:tcBorders>
          </w:tcPr>
          <w:p>
            <w:pPr>
              <w:pStyle w:val="26"/>
              <w:spacing w:before="20"/>
              <w:ind w:left="117"/>
              <w:jc w:val="left"/>
              <w:rPr>
                <w:rFonts w:hint="default" w:ascii="Times New Roman" w:hAnsi="Times New Roman" w:eastAsia="宋体" w:cs="Times New Roman"/>
                <w:b/>
                <w:sz w:val="21"/>
              </w:rPr>
            </w:pPr>
            <w:r>
              <w:rPr>
                <w:rFonts w:hint="default" w:ascii="Times New Roman" w:hAnsi="Times New Roman" w:eastAsia="宋体" w:cs="Times New Roman"/>
                <w:b/>
                <w:sz w:val="21"/>
              </w:rPr>
              <w:t>分析方法及编号</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2"/>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1</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色</w:t>
            </w:r>
            <w:r>
              <w:rPr>
                <w:rFonts w:hint="eastAsia" w:eastAsia="宋体" w:cs="Times New Roman"/>
                <w:color w:val="auto"/>
                <w:kern w:val="2"/>
                <w:sz w:val="21"/>
                <w:szCs w:val="24"/>
                <w:highlight w:val="none"/>
                <w:lang w:val="en-US" w:eastAsia="zh-CN" w:bidi="zh-CN"/>
              </w:rPr>
              <w:t>度</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色度的测定GB 11903-1989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2</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臭</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文字描述法 《水和废水监测分析方法》（第四版增补版） 3.1.3.1 国家环境保护总局 2002年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3</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浊度</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浊度的测定 浊度计法》HJ1075-2019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4</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肉眼可见物</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《生活饮用水标准检验方法感官性状和物理指标》 GB/T 5750.4-2006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34" w:type="pct"/>
            <w:tcBorders>
              <w:top w:val="single" w:color="000000" w:sz="4" w:space="0"/>
              <w:left w:val="nil"/>
              <w:bottom w:val="single" w:color="000000" w:sz="4" w:space="0"/>
              <w:right w:val="single" w:color="000000" w:sz="4" w:space="0"/>
            </w:tcBorders>
          </w:tcPr>
          <w:p>
            <w:pPr>
              <w:pStyle w:val="26"/>
              <w:spacing w:before="20"/>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5</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pH值</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pH值的测定 电极法》HJ 1147-2020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0"/>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6</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总硬度</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钙和镁总量的测定 EDTA滴定法GB/T 7477-1987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11" w:hRule="atLeast"/>
        </w:trPr>
        <w:tc>
          <w:tcPr>
            <w:tcW w:w="234" w:type="pct"/>
            <w:tcBorders>
              <w:top w:val="single" w:color="000000" w:sz="4" w:space="0"/>
              <w:left w:val="nil"/>
              <w:bottom w:val="single" w:color="000000" w:sz="4" w:space="0"/>
              <w:right w:val="single" w:color="000000" w:sz="4" w:space="0"/>
            </w:tcBorders>
          </w:tcPr>
          <w:p>
            <w:pPr>
              <w:pStyle w:val="26"/>
              <w:spacing w:before="22"/>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7</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溶解性总固体</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地下水质分析方法第9部分：溶解性固体总量的测定重量法DZ/T 0064.9-2021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2"/>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8</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硫酸盐</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硫酸盐测定 铬酸钡分光光度法（试行）HJ/T 342-2007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cs="Times New Roman"/>
                <w:sz w:val="21"/>
                <w:highlight w:val="none"/>
              </w:rPr>
            </w:pPr>
            <w:r>
              <w:rPr>
                <w:rFonts w:hint="default" w:ascii="Times New Roman" w:hAnsi="Times New Roman" w:cs="Times New Roman"/>
                <w:w w:val="99"/>
                <w:sz w:val="21"/>
                <w:highlight w:val="none"/>
              </w:rPr>
              <w:t>9</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氯化物</w:t>
            </w:r>
          </w:p>
        </w:tc>
        <w:tc>
          <w:tcPr>
            <w:tcW w:w="3882" w:type="pct"/>
            <w:tcBorders>
              <w:top w:val="single" w:color="000000" w:sz="4" w:space="0"/>
              <w:left w:val="single" w:color="000000" w:sz="4" w:space="0"/>
              <w:bottom w:val="single" w:color="000000" w:sz="4" w:space="0"/>
              <w:right w:val="nil"/>
            </w:tcBorders>
          </w:tcPr>
          <w:p>
            <w:pPr>
              <w:pStyle w:val="26"/>
              <w:spacing w:before="20"/>
              <w:ind w:left="117" w:leftChars="0"/>
              <w:jc w:val="left"/>
              <w:rPr>
                <w:rFonts w:hint="default" w:ascii="Times New Roman" w:hAnsi="Times New Roman" w:eastAsia="宋体" w:cs="Times New Roman"/>
                <w:sz w:val="21"/>
              </w:rPr>
            </w:pPr>
            <w:r>
              <w:rPr>
                <w:rFonts w:hint="default" w:ascii="Times New Roman" w:hAnsi="Times New Roman" w:eastAsia="宋体" w:cs="Times New Roman"/>
                <w:sz w:val="21"/>
                <w:lang w:val="zh-CN" w:eastAsia="zh-CN"/>
              </w:rPr>
              <w:t>水质 氯化物的测定 硝酸银滴定法GB 11896-1989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10</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0"/>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铁</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32种元素的测定 电感耦合等离子体发射光谱法》  HJ 776-2015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11</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2"/>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锰</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32种元素的测定 电感耦合等离子体发射光谱法》  HJ 776-2015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12</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ascii="Times New Roman" w:hAnsi="Times New Roman" w:eastAsia="宋体" w:cs="Times New Roman"/>
                <w:color w:val="auto"/>
                <w:kern w:val="2"/>
                <w:sz w:val="21"/>
                <w:szCs w:val="24"/>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zh-CN"/>
              </w:rPr>
              <w:t>铜</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zh-CN" w:eastAsia="zh-CN"/>
              </w:rPr>
            </w:pPr>
            <w:r>
              <w:rPr>
                <w:rFonts w:hint="default" w:ascii="Times New Roman" w:hAnsi="Times New Roman" w:eastAsia="宋体" w:cs="Times New Roman"/>
                <w:sz w:val="21"/>
                <w:lang w:val="zh-CN" w:eastAsia="zh-CN"/>
              </w:rPr>
              <w:t>《水质 32种元素的测定 电感耦合等离子体发射光谱法》  HJ 776-2015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13</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锌</w:t>
            </w:r>
          </w:p>
        </w:tc>
        <w:tc>
          <w:tcPr>
            <w:tcW w:w="3882" w:type="pct"/>
            <w:tcBorders>
              <w:top w:val="single" w:color="000000" w:sz="4" w:space="0"/>
              <w:left w:val="single" w:color="000000" w:sz="4" w:space="0"/>
              <w:bottom w:val="single" w:color="000000" w:sz="4" w:space="0"/>
              <w:right w:val="nil"/>
            </w:tcBorders>
          </w:tcPr>
          <w:p>
            <w:pPr>
              <w:pStyle w:val="26"/>
              <w:spacing w:before="20"/>
              <w:ind w:left="117" w:leftChars="0"/>
              <w:jc w:val="left"/>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zh-CN" w:eastAsia="zh-CN"/>
              </w:rPr>
              <w:t>《水质 32种元素的测定 电感耦合等离子体发射光谱法》  HJ 776-2015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14</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铝</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lang w:val="zh-CN" w:eastAsia="zh-CN"/>
              </w:rPr>
              <w:t>《水质 32种元素的测定 电感耦合等离子体发射光谱法》  HJ 776-2015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15</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挥发酚</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挥发酚的测定 4-氨基安替比林分光光度法》  HJ 503-2009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16</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阴离子表面活性剂</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阴离子表面活性剂的测定  亚甲蓝分光光度法》GB 7494-1987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17</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高锰酸盐指数</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高锰酸盐指数的测定GB 11892-1989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18</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氨氮</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氨氮的测定 纳氏试剂分光光度法》 HJ 535-2009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19</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硫化物</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硫化物的测定 亚甲基蓝分光光度法》HJ 1226-2021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20</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钠</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lang w:val="zh-CN" w:eastAsia="zh-CN"/>
              </w:rPr>
              <w:t>《水质 32种元素的测定 电感耦合等离子体发射光谱法》 HJ 776-2015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2</w:t>
            </w:r>
            <w:r>
              <w:rPr>
                <w:rFonts w:hint="eastAsia" w:eastAsia="宋体" w:cs="Times New Roman"/>
                <w:w w:val="99"/>
                <w:sz w:val="21"/>
                <w:highlight w:val="none"/>
                <w:lang w:val="en-US" w:eastAsia="zh-CN"/>
              </w:rPr>
              <w:t>1</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亚硝酸盐</w:t>
            </w:r>
            <w:r>
              <w:rPr>
                <w:rFonts w:hint="eastAsia" w:eastAsia="宋体" w:cs="Times New Roman"/>
                <w:color w:val="auto"/>
                <w:sz w:val="21"/>
                <w:highlight w:val="none"/>
                <w:lang w:val="en-US" w:eastAsia="zh-CN"/>
              </w:rPr>
              <w:t>氮</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亚硝酸盐氮的测定 分光光度法》GB/T 7493-1987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default" w:ascii="Times New Roman" w:hAnsi="Times New Roman" w:eastAsia="宋体" w:cs="Times New Roman"/>
                <w:w w:val="99"/>
                <w:sz w:val="21"/>
                <w:highlight w:val="none"/>
                <w:lang w:val="en-US" w:eastAsia="zh-CN"/>
              </w:rPr>
              <w:t>2</w:t>
            </w:r>
            <w:r>
              <w:rPr>
                <w:rFonts w:hint="eastAsia" w:eastAsia="宋体" w:cs="Times New Roman"/>
                <w:w w:val="99"/>
                <w:sz w:val="21"/>
                <w:highlight w:val="none"/>
                <w:lang w:val="en-US" w:eastAsia="zh-CN"/>
              </w:rPr>
              <w:t>2</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硝酸盐</w:t>
            </w:r>
            <w:r>
              <w:rPr>
                <w:rFonts w:hint="eastAsia" w:eastAsia="宋体" w:cs="Times New Roman"/>
                <w:color w:val="auto"/>
                <w:sz w:val="21"/>
                <w:highlight w:val="none"/>
                <w:lang w:val="en-US" w:eastAsia="zh-CN"/>
              </w:rPr>
              <w:t>氮</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lang w:val="zh-CN" w:eastAsia="zh-CN"/>
              </w:rPr>
              <w:t>水质 硝酸盐氮的测定 紫外分光光度法（试行）HJ/T 346-2007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eastAsia" w:eastAsia="宋体" w:cs="Times New Roman"/>
                <w:w w:val="99"/>
                <w:sz w:val="21"/>
                <w:highlight w:val="none"/>
                <w:lang w:val="en-US" w:eastAsia="zh-CN"/>
              </w:rPr>
              <w:t>23</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氰化物</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氰化物的测定 容量法和分光光度法》 HJ 484-2009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tcPr>
          <w:p>
            <w:pPr>
              <w:pStyle w:val="26"/>
              <w:spacing w:before="21"/>
              <w:ind w:left="123"/>
              <w:jc w:val="left"/>
              <w:rPr>
                <w:rFonts w:hint="default" w:ascii="Times New Roman" w:hAnsi="Times New Roman" w:eastAsia="宋体" w:cs="Times New Roman"/>
                <w:w w:val="99"/>
                <w:sz w:val="21"/>
                <w:highlight w:val="none"/>
                <w:lang w:val="en-US" w:eastAsia="zh-CN"/>
              </w:rPr>
            </w:pPr>
            <w:r>
              <w:rPr>
                <w:rFonts w:hint="eastAsia" w:eastAsia="宋体" w:cs="Times New Roman"/>
                <w:w w:val="99"/>
                <w:sz w:val="21"/>
                <w:highlight w:val="none"/>
                <w:lang w:val="en-US" w:eastAsia="zh-CN"/>
              </w:rPr>
              <w:t>24</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氟化物</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氟化物的测定 离子选择电极法》GB 7484-1987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25</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碘化物</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碘化物的测定 离子色谱法》 HJ 778-2015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26</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汞</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汞、砷、硒、铋和锑的测定 原子荧光法》HJ 694-2014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27</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砷</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汞、砷、硒、铋和锑的测定 原子荧光法》HJ 694-2014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28</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硒</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汞、砷、硒、铋和锑的测定 原子荧光法》HJ 694-2014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29</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镉</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lang w:val="zh-CN" w:eastAsia="zh-CN"/>
              </w:rPr>
              <w:t>《水和废水监测分析方法 》（第四版增补版）国家环境保护总局2002年 3.4.7.4石墨炉原子吸收法</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30</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铬（六价）</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rPr>
              <w:t>《水质 六价铬的测定 二苯碳酰二肼分光光度法》GB 7467-1987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31</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铅</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rPr>
            </w:pPr>
            <w:r>
              <w:rPr>
                <w:rFonts w:hint="default" w:ascii="Times New Roman" w:hAnsi="Times New Roman" w:eastAsia="宋体" w:cs="Times New Roman"/>
                <w:sz w:val="21"/>
                <w:lang w:val="zh-CN" w:eastAsia="zh-CN"/>
              </w:rPr>
              <w:t>《水和废水监测分析方法 》（第四版增补版）国家环境保护总局2002年 3.4.7.4石墨炉原子吸收法</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2"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32</w:t>
            </w:r>
          </w:p>
        </w:tc>
        <w:tc>
          <w:tcPr>
            <w:tcW w:w="882" w:type="pct"/>
            <w:tcBorders>
              <w:top w:val="single" w:color="000000" w:sz="4" w:space="0"/>
              <w:left w:val="single" w:color="000000" w:sz="4" w:space="0"/>
              <w:bottom w:val="single" w:color="000000" w:sz="4" w:space="0"/>
              <w:right w:val="single" w:color="000000" w:sz="4" w:space="0"/>
            </w:tcBorders>
          </w:tcPr>
          <w:p>
            <w:pPr>
              <w:pStyle w:val="26"/>
              <w:spacing w:before="21"/>
              <w:ind w:left="116"/>
              <w:jc w:val="left"/>
              <w:rPr>
                <w:rFonts w:hint="default" w:ascii="Times New Roman" w:hAnsi="Times New Roman" w:eastAsia="宋体" w:cs="Times New Roman"/>
                <w:color w:val="auto"/>
                <w:sz w:val="21"/>
                <w:highlight w:val="none"/>
                <w:lang w:val="en-US" w:eastAsia="zh-CN"/>
              </w:rPr>
            </w:pPr>
            <w:r>
              <w:rPr>
                <w:rFonts w:hint="eastAsia" w:eastAsia="宋体" w:cs="Times New Roman"/>
                <w:color w:val="auto"/>
                <w:sz w:val="21"/>
                <w:highlight w:val="none"/>
                <w:lang w:val="en-US" w:eastAsia="zh-CN"/>
              </w:rPr>
              <w:t>可萃取性</w:t>
            </w:r>
            <w:r>
              <w:rPr>
                <w:rFonts w:hint="default" w:ascii="Times New Roman" w:hAnsi="Times New Roman" w:eastAsia="宋体" w:cs="Times New Roman"/>
                <w:color w:val="auto"/>
                <w:sz w:val="21"/>
                <w:highlight w:val="none"/>
                <w:lang w:val="en-US" w:eastAsia="zh-CN"/>
              </w:rPr>
              <w:t>石油烃</w:t>
            </w:r>
          </w:p>
        </w:tc>
        <w:tc>
          <w:tcPr>
            <w:tcW w:w="3882" w:type="pct"/>
            <w:tcBorders>
              <w:top w:val="single" w:color="000000" w:sz="4" w:space="0"/>
              <w:left w:val="single" w:color="000000" w:sz="4" w:space="0"/>
              <w:bottom w:val="single" w:color="000000" w:sz="4" w:space="0"/>
              <w:right w:val="nil"/>
            </w:tcBorders>
          </w:tcPr>
          <w:p>
            <w:pPr>
              <w:pStyle w:val="26"/>
              <w:spacing w:before="21"/>
              <w:ind w:left="117"/>
              <w:jc w:val="left"/>
              <w:rPr>
                <w:rFonts w:hint="default" w:ascii="Times New Roman" w:hAnsi="Times New Roman" w:eastAsia="宋体" w:cs="Times New Roman"/>
                <w:sz w:val="21"/>
                <w:lang w:val="en-US" w:eastAsia="zh-CN"/>
              </w:rPr>
            </w:pPr>
            <w:r>
              <w:rPr>
                <w:rFonts w:hint="default" w:ascii="Times New Roman" w:hAnsi="Times New Roman" w:eastAsia="宋体" w:cs="Times New Roman"/>
                <w:sz w:val="21"/>
                <w:lang w:val="en-US" w:eastAsia="zh-CN"/>
              </w:rPr>
              <w:t>《水质 可萃取性石油烃（C10-C40）的测定 气相色谱法》HJ 894-2017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34" w:type="pct"/>
            <w:tcBorders>
              <w:top w:val="single" w:color="000000" w:sz="4" w:space="0"/>
              <w:left w:val="nil"/>
              <w:bottom w:val="single" w:color="000000" w:sz="4" w:space="0"/>
              <w:right w:val="single" w:color="000000" w:sz="4" w:space="0"/>
            </w:tcBorders>
            <w:vAlign w:val="top"/>
          </w:tcPr>
          <w:p>
            <w:pPr>
              <w:pStyle w:val="26"/>
              <w:spacing w:before="21"/>
              <w:ind w:left="123" w:leftChars="0"/>
              <w:jc w:val="left"/>
              <w:rPr>
                <w:rFonts w:hint="default" w:ascii="Times New Roman" w:hAnsi="Times New Roman" w:eastAsia="宋体" w:cs="Times New Roman"/>
                <w:w w:val="99"/>
                <w:kern w:val="2"/>
                <w:sz w:val="21"/>
                <w:szCs w:val="24"/>
                <w:highlight w:val="none"/>
                <w:lang w:val="en-US" w:eastAsia="zh-CN" w:bidi="zh-CN"/>
              </w:rPr>
            </w:pPr>
            <w:r>
              <w:rPr>
                <w:rFonts w:hint="default" w:ascii="Times New Roman" w:hAnsi="Times New Roman" w:eastAsia="宋体" w:cs="Times New Roman"/>
                <w:w w:val="99"/>
                <w:sz w:val="21"/>
                <w:highlight w:val="none"/>
                <w:lang w:val="en-US" w:eastAsia="zh-CN"/>
              </w:rPr>
              <w:t>33</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ascii="Times New Roman" w:hAnsi="Times New Roman" w:eastAsia="宋体" w:cs="Times New Roman"/>
                <w:kern w:val="2"/>
                <w:sz w:val="21"/>
                <w:szCs w:val="24"/>
                <w:highlight w:val="none"/>
                <w:lang w:val="en-US" w:eastAsia="zh-CN" w:bidi="zh-CN"/>
              </w:rPr>
            </w:pPr>
            <w:r>
              <w:rPr>
                <w:rFonts w:hint="default" w:ascii="Times New Roman" w:hAnsi="Times New Roman" w:eastAsia="宋体" w:cs="Times New Roman"/>
                <w:kern w:val="2"/>
                <w:sz w:val="21"/>
                <w:szCs w:val="24"/>
                <w:highlight w:val="none"/>
                <w:lang w:val="en-US" w:eastAsia="zh-CN" w:bidi="zh-CN"/>
              </w:rPr>
              <w:t>挥发性有机物</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kern w:val="2"/>
                <w:sz w:val="21"/>
                <w:szCs w:val="24"/>
                <w:lang w:val="zh-CN" w:eastAsia="zh-CN" w:bidi="zh-CN"/>
              </w:rPr>
            </w:pPr>
            <w:r>
              <w:rPr>
                <w:rFonts w:hint="default" w:ascii="Times New Roman" w:hAnsi="Times New Roman" w:eastAsia="宋体" w:cs="Times New Roman"/>
                <w:kern w:val="2"/>
                <w:sz w:val="21"/>
                <w:szCs w:val="24"/>
                <w:lang w:val="zh-CN" w:eastAsia="zh-CN" w:bidi="zh-CN"/>
              </w:rPr>
              <w:t>《水质 挥发性有机物的测定 吹扫捕集/气相色谱-质谱法》HJ 639-2012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34" w:type="pct"/>
            <w:tcBorders>
              <w:top w:val="single" w:color="000000" w:sz="4" w:space="0"/>
              <w:left w:val="nil"/>
              <w:bottom w:val="single" w:color="000000" w:sz="4" w:space="0"/>
              <w:right w:val="single" w:color="000000" w:sz="4" w:space="0"/>
            </w:tcBorders>
          </w:tcPr>
          <w:p>
            <w:pPr>
              <w:pStyle w:val="26"/>
              <w:spacing w:before="20"/>
              <w:ind w:left="123"/>
              <w:jc w:val="left"/>
              <w:rPr>
                <w:rFonts w:hint="default" w:ascii="Times New Roman" w:hAnsi="Times New Roman" w:eastAsia="宋体" w:cs="Times New Roman"/>
                <w:sz w:val="21"/>
                <w:lang w:val="en-US" w:eastAsia="zh-CN"/>
              </w:rPr>
            </w:pPr>
            <w:r>
              <w:rPr>
                <w:rFonts w:hint="eastAsia" w:eastAsia="宋体" w:cs="Times New Roman"/>
                <w:sz w:val="21"/>
                <w:lang w:val="en-US" w:eastAsia="zh-CN"/>
              </w:rPr>
              <w:t>34</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ascii="Times New Roman" w:hAnsi="Times New Roman" w:eastAsia="宋体" w:cs="Times New Roman"/>
                <w:kern w:val="2"/>
                <w:sz w:val="21"/>
                <w:szCs w:val="24"/>
                <w:highlight w:val="none"/>
                <w:lang w:val="en-US" w:eastAsia="zh-CN" w:bidi="zh-CN"/>
              </w:rPr>
            </w:pPr>
            <w:r>
              <w:rPr>
                <w:rFonts w:hint="eastAsia" w:eastAsia="宋体" w:cs="Times New Roman"/>
                <w:kern w:val="2"/>
                <w:sz w:val="21"/>
                <w:szCs w:val="24"/>
                <w:highlight w:val="none"/>
                <w:lang w:val="en-US" w:eastAsia="zh-CN" w:bidi="zh-CN"/>
              </w:rPr>
              <w:t>甲醇</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lang w:val="en-US" w:eastAsia="zh-CN"/>
              </w:rPr>
            </w:pPr>
            <w:r>
              <w:rPr>
                <w:rFonts w:hint="default" w:ascii="Times New Roman" w:hAnsi="Times New Roman" w:eastAsia="宋体" w:cs="Times New Roman"/>
                <w:sz w:val="21"/>
              </w:rPr>
              <w:t xml:space="preserve">水质 </w:t>
            </w:r>
            <w:r>
              <w:rPr>
                <w:rFonts w:hint="eastAsia" w:eastAsia="宋体" w:cs="Times New Roman"/>
                <w:sz w:val="21"/>
                <w:lang w:val="en-US" w:eastAsia="zh-CN"/>
              </w:rPr>
              <w:t>甲醇和丙酮</w:t>
            </w:r>
            <w:r>
              <w:rPr>
                <w:rFonts w:hint="default" w:ascii="Times New Roman" w:hAnsi="Times New Roman" w:eastAsia="宋体" w:cs="Times New Roman"/>
                <w:sz w:val="21"/>
              </w:rPr>
              <w:t>的测定</w:t>
            </w:r>
            <w:r>
              <w:rPr>
                <w:rFonts w:hint="eastAsia" w:eastAsia="宋体" w:cs="Times New Roman"/>
                <w:sz w:val="21"/>
                <w:lang w:val="en-US" w:eastAsia="zh-CN"/>
              </w:rPr>
              <w:t xml:space="preserve"> 顶空</w:t>
            </w:r>
            <w:r>
              <w:rPr>
                <w:rFonts w:hint="default" w:ascii="Times New Roman" w:hAnsi="Times New Roman" w:eastAsia="宋体" w:cs="Times New Roman"/>
                <w:sz w:val="21"/>
              </w:rPr>
              <w:t>气相色谱法</w:t>
            </w:r>
            <w:r>
              <w:rPr>
                <w:rFonts w:hint="eastAsia" w:eastAsia="宋体" w:cs="Times New Roman"/>
                <w:sz w:val="21"/>
                <w:lang w:val="en-US" w:eastAsia="zh-CN"/>
              </w:rPr>
              <w:t xml:space="preserve"> HJ 895-2017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34" w:type="pct"/>
            <w:tcBorders>
              <w:top w:val="single" w:color="000000" w:sz="4" w:space="0"/>
              <w:left w:val="nil"/>
              <w:bottom w:val="single" w:color="000000" w:sz="4" w:space="0"/>
              <w:right w:val="single" w:color="000000" w:sz="4" w:space="0"/>
            </w:tcBorders>
          </w:tcPr>
          <w:p>
            <w:pPr>
              <w:pStyle w:val="26"/>
              <w:spacing w:before="20"/>
              <w:ind w:left="123"/>
              <w:jc w:val="left"/>
              <w:rPr>
                <w:rFonts w:hint="default" w:eastAsia="宋体" w:cs="Times New Roman"/>
                <w:sz w:val="21"/>
                <w:lang w:val="en-US" w:eastAsia="zh-CN"/>
              </w:rPr>
            </w:pPr>
            <w:r>
              <w:rPr>
                <w:rFonts w:hint="eastAsia" w:eastAsia="宋体" w:cs="Times New Roman"/>
                <w:sz w:val="21"/>
                <w:lang w:val="en-US" w:eastAsia="zh-CN"/>
              </w:rPr>
              <w:t>35</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eastAsia="宋体" w:cs="Times New Roman"/>
                <w:kern w:val="2"/>
                <w:sz w:val="21"/>
                <w:szCs w:val="24"/>
                <w:highlight w:val="none"/>
                <w:lang w:val="en-US" w:eastAsia="zh-CN" w:bidi="zh-CN"/>
              </w:rPr>
            </w:pPr>
            <w:r>
              <w:rPr>
                <w:rFonts w:hint="eastAsia" w:eastAsia="宋体" w:cs="Times New Roman"/>
                <w:kern w:val="2"/>
                <w:sz w:val="21"/>
                <w:szCs w:val="24"/>
                <w:highlight w:val="none"/>
                <w:lang w:val="en-US" w:eastAsia="zh-CN" w:bidi="zh-CN"/>
              </w:rPr>
              <w:t>N,N-二甲基甲酰胺</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rPr>
            </w:pPr>
            <w:r>
              <w:rPr>
                <w:rFonts w:hint="default" w:ascii="Times New Roman" w:hAnsi="Times New Roman" w:eastAsia="宋体" w:cs="Times New Roman"/>
                <w:sz w:val="21"/>
                <w:lang w:val="en-US" w:eastAsia="zh-CN"/>
              </w:rPr>
              <w:t>气相色谱法</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11" w:hRule="atLeast"/>
        </w:trPr>
        <w:tc>
          <w:tcPr>
            <w:tcW w:w="234" w:type="pct"/>
            <w:tcBorders>
              <w:top w:val="single" w:color="000000" w:sz="4" w:space="0"/>
              <w:left w:val="nil"/>
              <w:bottom w:val="single" w:color="000000" w:sz="4" w:space="0"/>
              <w:right w:val="single" w:color="000000" w:sz="4" w:space="0"/>
            </w:tcBorders>
          </w:tcPr>
          <w:p>
            <w:pPr>
              <w:pStyle w:val="26"/>
              <w:spacing w:before="20"/>
              <w:ind w:left="123"/>
              <w:jc w:val="left"/>
              <w:rPr>
                <w:rFonts w:hint="default" w:eastAsia="宋体" w:cs="Times New Roman"/>
                <w:sz w:val="21"/>
                <w:lang w:val="en-US" w:eastAsia="zh-CN"/>
              </w:rPr>
            </w:pPr>
            <w:r>
              <w:rPr>
                <w:rFonts w:hint="eastAsia" w:eastAsia="宋体" w:cs="Times New Roman"/>
                <w:sz w:val="21"/>
                <w:lang w:val="en-US" w:eastAsia="zh-CN"/>
              </w:rPr>
              <w:t>36</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eastAsia="宋体" w:cs="Times New Roman"/>
                <w:kern w:val="2"/>
                <w:sz w:val="21"/>
                <w:szCs w:val="24"/>
                <w:highlight w:val="none"/>
                <w:lang w:val="en-US" w:eastAsia="zh-CN" w:bidi="zh-CN"/>
              </w:rPr>
            </w:pPr>
            <w:r>
              <w:rPr>
                <w:rFonts w:hint="eastAsia" w:eastAsia="宋体" w:cs="Times New Roman"/>
                <w:kern w:val="2"/>
                <w:sz w:val="21"/>
                <w:szCs w:val="24"/>
                <w:highlight w:val="none"/>
                <w:lang w:val="en-US" w:eastAsia="zh-CN" w:bidi="zh-CN"/>
              </w:rPr>
              <w:t>三乙胺</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rPr>
            </w:pPr>
            <w:r>
              <w:rPr>
                <w:rFonts w:hint="default" w:ascii="Times New Roman" w:hAnsi="Times New Roman" w:eastAsia="宋体" w:cs="Times New Roman"/>
                <w:sz w:val="21"/>
                <w:lang w:val="en-US" w:eastAsia="zh-CN"/>
              </w:rPr>
              <w:t>气相色谱法</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234" w:type="pct"/>
            <w:tcBorders>
              <w:top w:val="single" w:color="000000" w:sz="4" w:space="0"/>
              <w:left w:val="nil"/>
              <w:bottom w:val="single" w:color="000000" w:sz="4" w:space="0"/>
              <w:right w:val="single" w:color="000000" w:sz="4" w:space="0"/>
            </w:tcBorders>
          </w:tcPr>
          <w:p>
            <w:pPr>
              <w:pStyle w:val="26"/>
              <w:spacing w:before="20"/>
              <w:ind w:left="123"/>
              <w:jc w:val="left"/>
              <w:rPr>
                <w:rFonts w:hint="default" w:eastAsia="宋体" w:cs="Times New Roman"/>
                <w:sz w:val="21"/>
                <w:lang w:val="en-US" w:eastAsia="zh-CN"/>
              </w:rPr>
            </w:pPr>
            <w:r>
              <w:rPr>
                <w:rFonts w:hint="eastAsia" w:eastAsia="宋体" w:cs="Times New Roman"/>
                <w:sz w:val="21"/>
                <w:lang w:val="en-US" w:eastAsia="zh-CN"/>
              </w:rPr>
              <w:t>37</w:t>
            </w:r>
          </w:p>
        </w:tc>
        <w:tc>
          <w:tcPr>
            <w:tcW w:w="882" w:type="pct"/>
            <w:tcBorders>
              <w:top w:val="single" w:color="000000" w:sz="4" w:space="0"/>
              <w:left w:val="single" w:color="000000" w:sz="4" w:space="0"/>
              <w:bottom w:val="single" w:color="000000" w:sz="4" w:space="0"/>
              <w:right w:val="single" w:color="000000" w:sz="4" w:space="0"/>
            </w:tcBorders>
            <w:vAlign w:val="top"/>
          </w:tcPr>
          <w:p>
            <w:pPr>
              <w:pStyle w:val="26"/>
              <w:spacing w:before="21"/>
              <w:ind w:left="116" w:leftChars="0"/>
              <w:jc w:val="left"/>
              <w:rPr>
                <w:rFonts w:hint="default" w:eastAsia="宋体" w:cs="Times New Roman"/>
                <w:kern w:val="2"/>
                <w:sz w:val="21"/>
                <w:szCs w:val="24"/>
                <w:highlight w:val="none"/>
                <w:lang w:val="en-US" w:eastAsia="zh-CN" w:bidi="zh-CN"/>
              </w:rPr>
            </w:pPr>
            <w:r>
              <w:rPr>
                <w:rFonts w:hint="eastAsia" w:eastAsia="宋体" w:cs="Times New Roman"/>
                <w:kern w:val="2"/>
                <w:sz w:val="21"/>
                <w:szCs w:val="24"/>
                <w:highlight w:val="none"/>
                <w:lang w:val="en-US" w:eastAsia="zh-CN" w:bidi="zh-CN"/>
              </w:rPr>
              <w:t>水合肼</w:t>
            </w:r>
          </w:p>
        </w:tc>
        <w:tc>
          <w:tcPr>
            <w:tcW w:w="3882" w:type="pct"/>
            <w:tcBorders>
              <w:top w:val="single" w:color="000000" w:sz="4" w:space="0"/>
              <w:left w:val="single" w:color="000000" w:sz="4" w:space="0"/>
              <w:bottom w:val="single" w:color="000000" w:sz="4" w:space="0"/>
              <w:right w:val="nil"/>
            </w:tcBorders>
            <w:vAlign w:val="top"/>
          </w:tcPr>
          <w:p>
            <w:pPr>
              <w:pStyle w:val="26"/>
              <w:spacing w:before="20"/>
              <w:ind w:left="117" w:leftChars="0"/>
              <w:jc w:val="left"/>
              <w:rPr>
                <w:rFonts w:hint="default" w:ascii="Times New Roman" w:hAnsi="Times New Roman" w:eastAsia="宋体" w:cs="Times New Roman"/>
                <w:sz w:val="21"/>
              </w:rPr>
            </w:pPr>
            <w:r>
              <w:rPr>
                <w:rFonts w:hint="eastAsia" w:eastAsia="宋体" w:cs="Times New Roman"/>
                <w:sz w:val="21"/>
                <w:lang w:val="en-US" w:eastAsia="zh-CN"/>
              </w:rPr>
              <w:t>分光光度法</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sectPr>
          <w:pgSz w:w="16840" w:h="11910" w:orient="landscape"/>
          <w:pgMar w:top="1434" w:right="1420" w:bottom="1372" w:left="1160" w:header="897" w:footer="975" w:gutter="0"/>
          <w:pgBorders>
            <w:top w:val="none" w:sz="0" w:space="0"/>
            <w:left w:val="none" w:sz="0" w:space="0"/>
            <w:bottom w:val="none" w:sz="0" w:space="0"/>
            <w:right w:val="none" w:sz="0" w:space="0"/>
          </w:pgBorders>
          <w:pgNumType w:fmt="decimal"/>
          <w:cols w:space="720" w:num="1"/>
        </w:sect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heme="minorEastAsia" w:hAnsiTheme="minorEastAsia" w:cstheme="minorEastAsia"/>
          <w:color w:val="auto"/>
          <w:sz w:val="24"/>
          <w:szCs w:val="24"/>
          <w:lang w:val="en-US" w:eastAsia="zh-CN"/>
        </w:rPr>
      </w:pPr>
      <w:r>
        <w:rPr>
          <w:rFonts w:hint="default" w:ascii="Times New Roman" w:hAnsi="Times New Roman" w:cs="Times New Roman"/>
          <w:color w:val="auto"/>
          <w:sz w:val="24"/>
          <w:szCs w:val="24"/>
          <w:lang w:val="en-US" w:eastAsia="zh-CN"/>
        </w:rPr>
        <w:t>2）各点位</w:t>
      </w:r>
      <w:r>
        <w:rPr>
          <w:rFonts w:hint="eastAsia" w:asciiTheme="minorEastAsia" w:hAnsiTheme="minorEastAsia" w:cstheme="minorEastAsia"/>
          <w:color w:val="auto"/>
          <w:sz w:val="24"/>
          <w:szCs w:val="24"/>
          <w:lang w:val="en-US" w:eastAsia="zh-CN"/>
        </w:rPr>
        <w:t>监测结果</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本次调查共分析地下水样品</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val="en-US" w:eastAsia="zh-CN"/>
        </w:rPr>
        <w:t>个</w:t>
      </w:r>
      <w:r>
        <w:rPr>
          <w:rFonts w:hint="eastAsia" w:ascii="Times New Roman" w:hAnsi="Times New Roman" w:cs="Times New Roman"/>
          <w:color w:val="auto"/>
          <w:sz w:val="24"/>
          <w:szCs w:val="24"/>
          <w:lang w:val="en-US" w:eastAsia="zh-CN"/>
        </w:rPr>
        <w:t>（含1个平行样）</w:t>
      </w:r>
      <w:r>
        <w:rPr>
          <w:rFonts w:hint="default" w:ascii="Times New Roman" w:hAnsi="Times New Roman" w:cs="Times New Roman"/>
          <w:color w:val="auto"/>
          <w:sz w:val="24"/>
          <w:szCs w:val="24"/>
          <w:lang w:val="en-US" w:eastAsia="zh-CN"/>
        </w:rPr>
        <w:t>，检测结果汇总见表8.2-2。</w:t>
      </w:r>
    </w:p>
    <w:p>
      <w:pPr>
        <w:spacing w:line="460" w:lineRule="exact"/>
        <w:ind w:firstLine="482" w:firstLineChars="200"/>
        <w:jc w:val="center"/>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表8.2-2 地下水监测结果</w:t>
      </w:r>
    </w:p>
    <w:tbl>
      <w:tblPr>
        <w:tblStyle w:val="17"/>
        <w:tblW w:w="543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34"/>
        <w:gridCol w:w="852"/>
        <w:gridCol w:w="1107"/>
        <w:gridCol w:w="1219"/>
        <w:gridCol w:w="848"/>
        <w:gridCol w:w="1111"/>
        <w:gridCol w:w="1179"/>
        <w:gridCol w:w="11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6" w:hRule="atLeast"/>
          <w:tblHeader/>
          <w:jc w:val="center"/>
        </w:trPr>
        <w:tc>
          <w:tcPr>
            <w:tcW w:w="1151"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检测项目</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单位</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D1</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D2</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t>
            </w:r>
            <w:r>
              <w:rPr>
                <w:rFonts w:hint="eastAsia" w:ascii="Times New Roman" w:hAnsi="Times New Roman" w:cs="Times New Roman"/>
                <w:color w:val="auto"/>
                <w:highlight w:val="none"/>
                <w:lang w:val="en-US" w:eastAsia="zh-CN"/>
              </w:rPr>
              <w:t>3</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t>
            </w:r>
            <w:r>
              <w:rPr>
                <w:rFonts w:hint="eastAsia" w:ascii="Times New Roman" w:hAnsi="Times New Roman" w:cs="Times New Roman"/>
                <w:color w:val="auto"/>
                <w:highlight w:val="none"/>
                <w:lang w:val="en-US" w:eastAsia="zh-CN"/>
              </w:rPr>
              <w:t>4</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w:t>
            </w:r>
            <w:r>
              <w:rPr>
                <w:rFonts w:hint="eastAsia" w:ascii="Times New Roman" w:hAnsi="Times New Roman" w:cs="Times New Roman"/>
                <w:color w:val="auto"/>
                <w:highlight w:val="none"/>
                <w:lang w:val="en-US" w:eastAsia="zh-CN"/>
              </w:rPr>
              <w:t>5</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D5</w:t>
            </w:r>
            <w:r>
              <w:rPr>
                <w:rFonts w:hint="eastAsia" w:ascii="Times New Roman" w:hAnsi="Times New Roman" w:cs="Times New Roman"/>
                <w:color w:val="auto"/>
                <w:highlight w:val="none"/>
                <w:lang w:val="en-US" w:eastAsia="zh-CN"/>
              </w:rPr>
              <w:t>（平行）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pH值</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无量纲</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7.9</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8.1</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7.6</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7.9</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7.7</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砷</w:t>
            </w:r>
          </w:p>
        </w:tc>
        <w:tc>
          <w:tcPr>
            <w:tcW w:w="439"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0.8</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1.4</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0.5</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3.7</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汞</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0.11</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0.33</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0.33</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0.27</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硒</w:t>
            </w:r>
          </w:p>
        </w:tc>
        <w:tc>
          <w:tcPr>
            <w:tcW w:w="439"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0.8</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0.8</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0.7</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0.8</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0.8</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铅</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1.9</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1.7</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镉</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铝</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0.191</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0.034</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0.209</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0.037</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0.028</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铜</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0.010</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铁</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锰</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锌</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钠</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311</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307</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244</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304</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331</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色度</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度</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臭</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浊度</w:t>
            </w:r>
          </w:p>
        </w:tc>
        <w:tc>
          <w:tcPr>
            <w:tcW w:w="439"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NTU</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5.6</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3.7</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2.4</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5.6</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8.4</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肉眼可见物</w:t>
            </w:r>
          </w:p>
        </w:tc>
        <w:tc>
          <w:tcPr>
            <w:tcW w:w="439"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总硬度(以CaCO</w:t>
            </w:r>
            <w:r>
              <w:rPr>
                <w:rFonts w:hint="default" w:ascii="Times New Roman" w:hAnsi="Times New Roman" w:cs="Times New Roman"/>
                <w:color w:val="auto"/>
                <w:highlight w:val="none"/>
                <w:vertAlign w:val="subscript"/>
                <w:lang w:val="en-US" w:eastAsia="zh-CN"/>
              </w:rPr>
              <w:t>3</w:t>
            </w:r>
            <w:r>
              <w:rPr>
                <w:rFonts w:hint="default" w:ascii="Times New Roman" w:hAnsi="Times New Roman" w:cs="Times New Roman"/>
                <w:color w:val="auto"/>
                <w:highlight w:val="none"/>
                <w:lang w:val="en-US" w:eastAsia="zh-CN"/>
              </w:rPr>
              <w:t>计)</w:t>
            </w:r>
          </w:p>
        </w:tc>
        <w:tc>
          <w:tcPr>
            <w:tcW w:w="439"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624</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515</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515</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473</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514</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溶解性总固体</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1.97×10</w:t>
            </w:r>
            <w:r>
              <w:rPr>
                <w:rFonts w:hint="eastAsia" w:ascii="Times New Roman" w:hAnsi="Times New Roman" w:cs="Times New Roman"/>
                <w:color w:val="auto"/>
                <w:highlight w:val="none"/>
                <w:vertAlign w:val="superscript"/>
                <w:lang w:val="en-US" w:eastAsia="zh-CN"/>
              </w:rPr>
              <w:t>3</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1.25×10</w:t>
            </w:r>
            <w:r>
              <w:rPr>
                <w:rFonts w:hint="eastAsia" w:ascii="Times New Roman" w:hAnsi="Times New Roman" w:cs="Times New Roman"/>
                <w:color w:val="auto"/>
                <w:highlight w:val="none"/>
                <w:vertAlign w:val="superscript"/>
                <w:lang w:val="en-US" w:eastAsia="zh-CN"/>
              </w:rPr>
              <w:t>3</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735</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1.37×10</w:t>
            </w:r>
            <w:r>
              <w:rPr>
                <w:rFonts w:hint="eastAsia" w:ascii="Times New Roman" w:hAnsi="Times New Roman" w:cs="Times New Roman"/>
                <w:color w:val="auto"/>
                <w:highlight w:val="none"/>
                <w:vertAlign w:val="superscript"/>
                <w:lang w:val="en-US" w:eastAsia="zh-CN"/>
              </w:rPr>
              <w:t>3</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1.10×10</w:t>
            </w:r>
            <w:r>
              <w:rPr>
                <w:rFonts w:hint="eastAsia" w:ascii="Times New Roman" w:hAnsi="Times New Roman" w:cs="Times New Roman"/>
                <w:color w:val="auto"/>
                <w:highlight w:val="none"/>
                <w:vertAlign w:val="superscript"/>
                <w:lang w:val="en-US" w:eastAsia="zh-CN"/>
              </w:rPr>
              <w:t>3</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1.08×10</w:t>
            </w:r>
            <w:r>
              <w:rPr>
                <w:rFonts w:hint="eastAsia" w:ascii="Times New Roman" w:hAnsi="Times New Roman" w:cs="Times New Roman"/>
                <w:color w:val="auto"/>
                <w:highlight w:val="non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硫酸盐</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16.9</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125</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32.1</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96.7</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47.3</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氯化物</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313</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208</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236</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266</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234</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挥发酚</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0.0049</w:t>
            </w:r>
          </w:p>
        </w:tc>
        <w:tc>
          <w:tcPr>
            <w:tcW w:w="628"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0.0045</w:t>
            </w:r>
          </w:p>
        </w:tc>
        <w:tc>
          <w:tcPr>
            <w:tcW w:w="43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0.0035</w:t>
            </w:r>
          </w:p>
        </w:tc>
        <w:tc>
          <w:tcPr>
            <w:tcW w:w="572"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0.0029</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0.0074</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阴离子表面活性剂</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0.256</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0.215</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0.079</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0.112</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高锰酸盐指数</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9.97</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3.88</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7.41</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7.73</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2.18</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氨氮</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0.851</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0.897</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0.282</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0.636</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0.492</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0.489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硝酸盐氮</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0.447</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25.5</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亚硝酸盐氮</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0.017</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0.158</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0.018</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0.014</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0.016</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氰化物</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氟化物</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1.23</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1.62</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0.871</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1.44</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1.56</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碘化物</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六价铬</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硫化物</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三氯甲烷</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四氯化碳</w:t>
            </w:r>
          </w:p>
        </w:tc>
        <w:tc>
          <w:tcPr>
            <w:tcW w:w="439"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苯</w:t>
            </w:r>
          </w:p>
        </w:tc>
        <w:tc>
          <w:tcPr>
            <w:tcW w:w="439"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μg/L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甲苯</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ug/L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tblHeader/>
          <w:jc w:val="center"/>
        </w:trPr>
        <w:tc>
          <w:tcPr>
            <w:tcW w:w="1151"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bookmarkStart w:id="65" w:name="_Toc7284"/>
            <w:r>
              <w:rPr>
                <w:rFonts w:hint="eastAsia" w:ascii="Times New Roman" w:hAnsi="Times New Roman" w:cs="Times New Roman"/>
                <w:color w:val="auto"/>
                <w:highlight w:val="none"/>
                <w:lang w:val="en-US" w:eastAsia="zh-CN"/>
              </w:rPr>
              <w:t>甲醇</w:t>
            </w:r>
          </w:p>
        </w:tc>
        <w:tc>
          <w:tcPr>
            <w:tcW w:w="439" w:type="pct"/>
            <w:noWrap w:val="0"/>
            <w:vAlign w:val="center"/>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mg/L</w:t>
            </w:r>
          </w:p>
        </w:tc>
        <w:tc>
          <w:tcPr>
            <w:tcW w:w="570"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noWrap w:val="0"/>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1151"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color w:val="auto"/>
                <w:highlight w:val="none"/>
                <w:lang w:val="en-US" w:eastAsia="zh-CN"/>
              </w:rPr>
              <w:t>可萃取性</w:t>
            </w:r>
            <w:r>
              <w:rPr>
                <w:rFonts w:hint="default" w:ascii="Times New Roman" w:hAnsi="Times New Roman" w:cs="Times New Roman"/>
                <w:color w:val="auto"/>
                <w:highlight w:val="none"/>
                <w:lang w:val="en-US" w:eastAsia="zh-CN"/>
              </w:rPr>
              <w:t>石油烃</w:t>
            </w:r>
          </w:p>
        </w:tc>
        <w:tc>
          <w:tcPr>
            <w:tcW w:w="439" w:type="pct"/>
            <w:vAlign w:val="top"/>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1151"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水合肼</w:t>
            </w:r>
          </w:p>
        </w:tc>
        <w:tc>
          <w:tcPr>
            <w:tcW w:w="439" w:type="pct"/>
            <w:vAlign w:val="top"/>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szCs w:val="21"/>
                <w:highlight w:val="none"/>
                <w:lang w:val="en-US" w:eastAsia="zh-CN"/>
              </w:rPr>
              <w:t>ug/L</w:t>
            </w:r>
          </w:p>
        </w:tc>
        <w:tc>
          <w:tcPr>
            <w:tcW w:w="570"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1151"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N,N-二甲基甲酰胺</w:t>
            </w:r>
          </w:p>
        </w:tc>
        <w:tc>
          <w:tcPr>
            <w:tcW w:w="439" w:type="pct"/>
            <w:vAlign w:val="top"/>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1151"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三乙胺</w:t>
            </w:r>
          </w:p>
        </w:tc>
        <w:tc>
          <w:tcPr>
            <w:tcW w:w="439" w:type="pct"/>
            <w:vAlign w:val="top"/>
          </w:tcPr>
          <w:p>
            <w:pPr>
              <w:keepNext w:val="0"/>
              <w:keepLines w:val="0"/>
              <w:pageBreakBefore w:val="0"/>
              <w:widowControl w:val="0"/>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szCs w:val="21"/>
                <w:highlight w:val="none"/>
                <w:lang w:val="en-US" w:eastAsia="zh-CN"/>
              </w:rPr>
              <w:t>mg/L</w:t>
            </w:r>
          </w:p>
        </w:tc>
        <w:tc>
          <w:tcPr>
            <w:tcW w:w="570"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28"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43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72"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607"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c>
          <w:tcPr>
            <w:tcW w:w="593" w:type="pct"/>
            <w:vAlign w:val="center"/>
          </w:tcPr>
          <w:p>
            <w:pPr>
              <w:keepNext w:val="0"/>
              <w:keepLines w:val="0"/>
              <w:pageBreakBefore w:val="0"/>
              <w:widowControl w:val="0"/>
              <w:tabs>
                <w:tab w:val="center" w:pos="732"/>
              </w:tabs>
              <w:kinsoku/>
              <w:wordWrap/>
              <w:overflowPunct/>
              <w:topLinePunct w:val="0"/>
              <w:autoSpaceDE/>
              <w:autoSpaceDN/>
              <w:bidi w:val="0"/>
              <w:adjustRightInd/>
              <w:snapToGrid/>
              <w:spacing w:line="312" w:lineRule="exact"/>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ND</w:t>
            </w:r>
          </w:p>
        </w:tc>
      </w:tr>
      <w:bookmarkEnd w:id="65"/>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3）监测结果分析</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lang w:val="en-US" w:eastAsia="zh-CN"/>
        </w:rPr>
        <w:t>本项目共采集</w:t>
      </w:r>
      <w:r>
        <w:rPr>
          <w:rFonts w:hint="eastAsia" w:ascii="Times New Roman" w:hAnsi="Times New Roman" w:cs="Times New Roman"/>
          <w:color w:val="auto"/>
          <w:sz w:val="24"/>
          <w:szCs w:val="24"/>
          <w:lang w:val="en-US" w:eastAsia="zh-CN"/>
        </w:rPr>
        <w:t>6个地下水样品（含1个平行样）</w:t>
      </w:r>
      <w:r>
        <w:rPr>
          <w:rFonts w:hint="default" w:ascii="Times New Roman" w:hAnsi="Times New Roman" w:cs="Times New Roman"/>
          <w:color w:val="auto"/>
          <w:sz w:val="24"/>
          <w:szCs w:val="24"/>
          <w:lang w:val="en-US" w:eastAsia="zh-CN"/>
        </w:rPr>
        <w:t>，分析参数为：地下水质量标准（GB/T-14848-2017）</w:t>
      </w:r>
      <w:r>
        <w:rPr>
          <w:rFonts w:hint="default" w:ascii="Times New Roman" w:hAnsi="Times New Roman" w:cs="Times New Roman"/>
          <w:color w:val="auto"/>
          <w:sz w:val="24"/>
          <w:szCs w:val="24"/>
          <w:highlight w:val="none"/>
          <w:lang w:val="en-US" w:eastAsia="zh-CN"/>
        </w:rPr>
        <w:t>表1中地下水3</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项常规指标以及总石油烃、</w:t>
      </w:r>
      <w:r>
        <w:rPr>
          <w:rFonts w:hint="eastAsia" w:ascii="Times New Roman" w:hAnsi="Times New Roman" w:cs="Times New Roman"/>
          <w:color w:val="auto"/>
          <w:sz w:val="24"/>
          <w:szCs w:val="24"/>
          <w:highlight w:val="none"/>
          <w:lang w:val="en-US" w:eastAsia="zh-CN"/>
        </w:rPr>
        <w:t>三乙胺</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甲醇、N,N-二甲基甲酰胺、水合肼</w:t>
      </w:r>
      <w:r>
        <w:rPr>
          <w:rFonts w:hint="default" w:ascii="Times New Roman" w:hAnsi="Times New Roman" w:cs="Times New Roman"/>
          <w:color w:val="auto"/>
          <w:sz w:val="24"/>
          <w:szCs w:val="24"/>
          <w:highlight w:val="none"/>
          <w:lang w:val="en-US" w:eastAsia="zh-CN"/>
        </w:rPr>
        <w:t>。检测结果汇总见表</w:t>
      </w:r>
      <w:r>
        <w:rPr>
          <w:rFonts w:hint="eastAsia" w:ascii="Times New Roman" w:hAnsi="Times New Roman" w:cs="Times New Roman"/>
          <w:color w:val="auto"/>
          <w:sz w:val="24"/>
          <w:szCs w:val="24"/>
          <w:highlight w:val="none"/>
          <w:lang w:val="en-US" w:eastAsia="zh-CN"/>
        </w:rPr>
        <w:t>8.2-2</w:t>
      </w:r>
      <w:r>
        <w:rPr>
          <w:rFonts w:hint="default" w:ascii="Times New Roman" w:hAnsi="Times New Roman" w:cs="Times New Roman"/>
          <w:color w:val="auto"/>
          <w:sz w:val="24"/>
          <w:szCs w:val="24"/>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本次调查共分析的6个地下水样品（含1个平行样）参考地下水质量标准（GB/T 14848-2017）第IV类进行评价，具体情况如下：</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地下水样品pH范围为</w:t>
      </w:r>
      <w:r>
        <w:rPr>
          <w:rFonts w:hint="eastAsia" w:ascii="Times New Roman" w:hAnsi="Times New Roman" w:cs="Times New Roman"/>
          <w:color w:val="auto"/>
          <w:sz w:val="24"/>
          <w:szCs w:val="24"/>
          <w:highlight w:val="none"/>
          <w:lang w:val="en-US" w:eastAsia="zh-CN"/>
        </w:rPr>
        <w:t>7.6-8.1</w:t>
      </w:r>
      <w:r>
        <w:rPr>
          <w:rFonts w:hint="default" w:ascii="Times New Roman" w:hAnsi="Times New Roman" w:cs="Times New Roman"/>
          <w:color w:val="auto"/>
          <w:sz w:val="24"/>
          <w:szCs w:val="24"/>
          <w:highlight w:val="none"/>
          <w:lang w:val="en-US" w:eastAsia="zh-CN"/>
        </w:rPr>
        <w:t>，属于中性，符合《地下水质量标准》（GB/T14848-2017）Ⅲ</w:t>
      </w:r>
      <w:r>
        <w:rPr>
          <w:rFonts w:hint="eastAsia" w:ascii="Times New Roman" w:hAnsi="Times New Roman" w:cs="Times New Roman"/>
          <w:color w:val="auto"/>
          <w:sz w:val="24"/>
          <w:szCs w:val="24"/>
          <w:highlight w:val="none"/>
          <w:lang w:val="en-US" w:eastAsia="zh-CN"/>
        </w:rPr>
        <w:t>类</w:t>
      </w:r>
      <w:r>
        <w:rPr>
          <w:rFonts w:hint="default" w:ascii="Times New Roman" w:hAnsi="Times New Roman" w:cs="Times New Roman"/>
          <w:color w:val="auto"/>
          <w:sz w:val="24"/>
          <w:szCs w:val="24"/>
          <w:highlight w:val="none"/>
          <w:lang w:val="en-US" w:eastAsia="zh-CN"/>
        </w:rPr>
        <w:t>标准；3</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项常规因子中</w:t>
      </w:r>
      <w:r>
        <w:rPr>
          <w:rFonts w:hint="eastAsia" w:ascii="Times New Roman" w:hAnsi="Times New Roman" w:cs="Times New Roman"/>
          <w:color w:val="auto"/>
          <w:sz w:val="24"/>
          <w:szCs w:val="24"/>
          <w:highlight w:val="none"/>
          <w:lang w:val="en-US" w:eastAsia="zh-CN"/>
        </w:rPr>
        <w:t>镉、铁、锰、锌、色度、</w:t>
      </w:r>
      <w:r>
        <w:rPr>
          <w:rFonts w:hint="default" w:ascii="Times New Roman" w:hAnsi="Times New Roman" w:cs="Times New Roman"/>
          <w:color w:val="auto"/>
          <w:sz w:val="24"/>
          <w:szCs w:val="24"/>
          <w:highlight w:val="none"/>
          <w:lang w:val="en-US" w:eastAsia="zh-CN"/>
        </w:rPr>
        <w:t>氰化物、</w:t>
      </w:r>
      <w:r>
        <w:rPr>
          <w:rFonts w:hint="eastAsia" w:ascii="Times New Roman" w:hAnsi="Times New Roman" w:cs="Times New Roman"/>
          <w:color w:val="auto"/>
          <w:sz w:val="24"/>
          <w:szCs w:val="24"/>
          <w:highlight w:val="none"/>
          <w:lang w:val="en-US" w:eastAsia="zh-CN"/>
        </w:rPr>
        <w:t>碘化物、</w:t>
      </w:r>
      <w:r>
        <w:rPr>
          <w:rFonts w:hint="default" w:ascii="Times New Roman" w:hAnsi="Times New Roman" w:cs="Times New Roman"/>
          <w:color w:val="auto"/>
          <w:sz w:val="24"/>
          <w:szCs w:val="24"/>
          <w:highlight w:val="none"/>
          <w:lang w:val="en-US" w:eastAsia="zh-CN"/>
        </w:rPr>
        <w:t>六价铬、硫化物、苯、三氯甲烷、四氯化碳、甲苯均未检出；其他因子均有检出且均未超过《地下水质量标准》（GB/T14848-2017）IV类标准。</w:t>
      </w:r>
      <w:r>
        <w:rPr>
          <w:rFonts w:hint="eastAsia" w:ascii="Times New Roman" w:hAnsi="Times New Roman" w:cs="Times New Roman"/>
          <w:color w:val="auto"/>
          <w:sz w:val="24"/>
          <w:szCs w:val="24"/>
          <w:highlight w:val="none"/>
          <w:lang w:val="en-US" w:eastAsia="zh-CN"/>
        </w:rPr>
        <w:t>特征因子甲醇、可萃取性石油烃、水合肼、N,N-二甲基甲酰胺、三乙胺均未检出</w:t>
      </w:r>
      <w:r>
        <w:rPr>
          <w:rFonts w:hint="default" w:ascii="Times New Roman" w:hAnsi="Times New Roman"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heme="minorEastAsia" w:hAnsiTheme="minorEastAsia" w:cstheme="minorEastAsia"/>
          <w:color w:val="auto"/>
          <w:sz w:val="24"/>
          <w:szCs w:val="24"/>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heme="minorEastAsia" w:hAnsiTheme="minorEastAsia" w:cstheme="minorEastAsia"/>
          <w:color w:val="auto"/>
          <w:sz w:val="24"/>
          <w:szCs w:val="24"/>
          <w:highlight w:val="none"/>
          <w:lang w:val="en-US" w:eastAsia="zh-CN"/>
        </w:rPr>
      </w:pPr>
    </w:p>
    <w:p>
      <w:pPr>
        <w:rPr>
          <w:rFonts w:hint="eastAsia"/>
          <w:highlight w:val="none"/>
          <w:lang w:val="en-US" w:eastAsia="zh-CN"/>
        </w:rPr>
      </w:pPr>
    </w:p>
    <w:p>
      <w:pPr>
        <w:rPr>
          <w:rFonts w:hint="eastAsia"/>
          <w:lang w:val="en-US" w:eastAsia="zh-CN"/>
        </w:rPr>
      </w:pPr>
      <w:bookmarkStart w:id="66" w:name="_Toc20210"/>
      <w:r>
        <w:rPr>
          <w:rFonts w:hint="eastAsia"/>
          <w:lang w:val="en-US" w:eastAsia="zh-CN"/>
        </w:rPr>
        <w:br w:type="page"/>
      </w:r>
    </w:p>
    <w:p>
      <w:pPr>
        <w:pStyle w:val="3"/>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67" w:name="_Toc30156"/>
      <w:r>
        <w:rPr>
          <w:rFonts w:hint="eastAsia"/>
          <w:lang w:val="en-US" w:eastAsia="zh-CN"/>
        </w:rPr>
        <w:t>9质量保证与质量控制</w:t>
      </w:r>
      <w:bookmarkEnd w:id="66"/>
      <w:bookmarkEnd w:id="67"/>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default"/>
          <w:lang w:val="en-US" w:eastAsia="zh-CN"/>
        </w:rPr>
      </w:pPr>
      <w:bookmarkStart w:id="68" w:name="_Toc23000"/>
      <w:bookmarkStart w:id="69" w:name="_Toc27700"/>
      <w:r>
        <w:rPr>
          <w:rFonts w:hint="eastAsia"/>
          <w:lang w:val="en-US" w:eastAsia="zh-CN"/>
        </w:rPr>
        <w:t>9.1</w:t>
      </w:r>
      <w:bookmarkEnd w:id="68"/>
      <w:r>
        <w:rPr>
          <w:rFonts w:hint="eastAsia"/>
          <w:lang w:val="en-US" w:eastAsia="zh-CN"/>
        </w:rPr>
        <w:t>自行监测质量体系</w:t>
      </w:r>
      <w:bookmarkEnd w:id="69"/>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eastAsia" w:asciiTheme="minorEastAsia" w:hAnsiTheme="minorEastAsia" w:cstheme="minorEastAsia"/>
          <w:color w:val="auto"/>
          <w:sz w:val="24"/>
          <w:szCs w:val="24"/>
          <w:lang w:val="en-US" w:eastAsia="zh-CN"/>
        </w:rPr>
        <w:t>本项目土壤和地下水自行监测方案中土壤和地下水样品采集、样品测试、数据报告编制均由江苏绿泰检测科技有限公司进行实施。</w:t>
      </w:r>
      <w:r>
        <w:rPr>
          <w:rFonts w:hint="eastAsia" w:ascii="Times New Roman" w:hAnsi="Times New Roman" w:cs="Times New Roman" w:eastAsiaTheme="minorEastAsia"/>
          <w:color w:val="000000"/>
          <w:sz w:val="24"/>
          <w:szCs w:val="20"/>
          <w:lang w:val="zh-CN"/>
        </w:rPr>
        <w:t>江苏绿泰检测科技有限公司</w:t>
      </w:r>
      <w:r>
        <w:rPr>
          <w:rFonts w:ascii="Times New Roman" w:hAnsi="Times New Roman" w:cs="Times New Roman" w:eastAsiaTheme="minorEastAsia"/>
          <w:color w:val="000000"/>
          <w:sz w:val="24"/>
          <w:szCs w:val="20"/>
          <w:lang w:val="zh-CN"/>
        </w:rPr>
        <w:t>位于</w:t>
      </w:r>
      <w:r>
        <w:rPr>
          <w:rFonts w:hint="eastAsia" w:ascii="Times New Roman" w:hAnsi="Times New Roman" w:cs="Times New Roman" w:eastAsiaTheme="minorEastAsia"/>
          <w:color w:val="000000"/>
          <w:sz w:val="24"/>
          <w:szCs w:val="20"/>
        </w:rPr>
        <w:t>无锡市新吴区观山路5号金投集成电路产业园B区</w:t>
      </w:r>
      <w:r>
        <w:rPr>
          <w:rFonts w:ascii="Times New Roman" w:hAnsi="Times New Roman" w:cs="Times New Roman" w:eastAsiaTheme="minorEastAsia"/>
          <w:color w:val="000000"/>
          <w:sz w:val="24"/>
          <w:szCs w:val="20"/>
        </w:rPr>
        <w:t>，</w:t>
      </w:r>
      <w:r>
        <w:rPr>
          <w:rFonts w:ascii="Times New Roman" w:hAnsi="Times New Roman" w:cs="Times New Roman" w:eastAsiaTheme="minorEastAsia"/>
          <w:color w:val="000000"/>
          <w:sz w:val="24"/>
          <w:szCs w:val="20"/>
          <w:lang w:val="zh-CN"/>
        </w:rPr>
        <w:t>是在中华人民共和国境内依法注册的、具有独立法人资格的企业，已经获得《资质认定计量认证证书》（CMA）</w:t>
      </w:r>
      <w:r>
        <w:rPr>
          <w:rFonts w:ascii="Times New Roman" w:hAnsi="Times New Roman" w:cs="Times New Roman" w:eastAsiaTheme="minorEastAsia"/>
          <w:color w:val="000000"/>
          <w:sz w:val="24"/>
          <w:szCs w:val="20"/>
        </w:rPr>
        <w:t>（</w:t>
      </w:r>
      <w:r>
        <w:rPr>
          <w:rFonts w:ascii="Times New Roman" w:hAnsi="Times New Roman" w:cs="Times New Roman" w:eastAsiaTheme="minorEastAsia"/>
          <w:kern w:val="0"/>
          <w:sz w:val="24"/>
        </w:rPr>
        <w:t>资质认定许可编号</w:t>
      </w:r>
      <w:r>
        <w:rPr>
          <w:rFonts w:ascii="Times New Roman" w:hAnsi="Times New Roman" w:cs="Times New Roman" w:eastAsiaTheme="minorEastAsia"/>
          <w:kern w:val="0"/>
          <w:sz w:val="24"/>
          <w:highlight w:val="none"/>
        </w:rPr>
        <w:t>CMA</w:t>
      </w:r>
      <w:r>
        <w:rPr>
          <w:rFonts w:hint="eastAsia" w:ascii="Times New Roman" w:hAnsi="Times New Roman" w:cs="Times New Roman"/>
          <w:kern w:val="0"/>
          <w:sz w:val="24"/>
          <w:highlight w:val="none"/>
          <w:lang w:val="en-US" w:eastAsia="zh-CN"/>
        </w:rPr>
        <w:t>191012340065</w:t>
      </w:r>
      <w:r>
        <w:rPr>
          <w:rFonts w:ascii="Times New Roman" w:hAnsi="Times New Roman" w:cs="Times New Roman" w:eastAsiaTheme="minorEastAsia"/>
          <w:color w:val="000000"/>
          <w:sz w:val="24"/>
          <w:szCs w:val="20"/>
          <w:highlight w:val="none"/>
        </w:rPr>
        <w:t>）</w:t>
      </w:r>
      <w:r>
        <w:rPr>
          <w:rFonts w:ascii="Times New Roman" w:hAnsi="Times New Roman" w:cs="Times New Roman" w:eastAsiaTheme="minorEastAsia"/>
          <w:color w:val="000000"/>
          <w:sz w:val="24"/>
          <w:szCs w:val="20"/>
        </w:rPr>
        <w:t>并通过</w:t>
      </w:r>
      <w:r>
        <w:rPr>
          <w:rFonts w:hint="eastAsia" w:ascii="Times New Roman" w:hAnsi="Times New Roman" w:cs="Times New Roman"/>
          <w:color w:val="000000"/>
          <w:sz w:val="24"/>
          <w:szCs w:val="20"/>
          <w:lang w:val="en-US" w:eastAsia="zh-CN"/>
        </w:rPr>
        <w:t>江苏省市场监督管理局认证</w:t>
      </w:r>
      <w:r>
        <w:rPr>
          <w:rFonts w:ascii="Times New Roman" w:hAnsi="Times New Roman" w:cs="Times New Roman" w:eastAsiaTheme="minorEastAsia"/>
          <w:color w:val="000000"/>
          <w:sz w:val="24"/>
          <w:szCs w:val="20"/>
        </w:rPr>
        <w:t>的第三方社会</w:t>
      </w:r>
      <w:r>
        <w:rPr>
          <w:rFonts w:hint="eastAsia" w:ascii="Times New Roman" w:hAnsi="Times New Roman" w:cs="Times New Roman"/>
          <w:color w:val="000000"/>
          <w:sz w:val="24"/>
          <w:szCs w:val="20"/>
          <w:lang w:val="en-US" w:eastAsia="zh-CN"/>
        </w:rPr>
        <w:t>大型综合</w:t>
      </w:r>
      <w:r>
        <w:rPr>
          <w:rFonts w:ascii="Times New Roman" w:hAnsi="Times New Roman" w:cs="Times New Roman" w:eastAsiaTheme="minorEastAsia"/>
          <w:color w:val="000000"/>
          <w:sz w:val="24"/>
          <w:szCs w:val="20"/>
        </w:rPr>
        <w:t>检测机构。</w:t>
      </w:r>
      <w:r>
        <w:rPr>
          <w:rFonts w:hint="eastAsia" w:asciiTheme="minorEastAsia" w:hAnsiTheme="minorEastAsia" w:cstheme="minorEastAsia"/>
          <w:color w:val="auto"/>
          <w:sz w:val="24"/>
          <w:szCs w:val="24"/>
          <w:lang w:val="en-US" w:eastAsia="zh-CN"/>
        </w:rPr>
        <w:t>公司配备专业丰富的技术人员从事检测工作，配备了水质采样器、空气废气采样器，</w:t>
      </w:r>
      <w:r>
        <w:rPr>
          <w:rFonts w:hint="default" w:ascii="Times New Roman" w:hAnsi="Times New Roman" w:cs="Times New Roman"/>
          <w:color w:val="auto"/>
          <w:sz w:val="24"/>
          <w:szCs w:val="24"/>
          <w:lang w:val="en-US" w:eastAsia="zh-CN"/>
        </w:rPr>
        <w:t>分析测试用大型仪器。人员能力和仪器设备能力满足检测工作的需要。CMA资质证书见图9.1-1。</w:t>
      </w:r>
    </w:p>
    <w:p>
      <w:pPr>
        <w:pStyle w:val="2"/>
      </w:pPr>
    </w:p>
    <w:p>
      <w:pPr>
        <w:pStyle w:val="2"/>
      </w:pPr>
    </w:p>
    <w:p/>
    <w:p>
      <w:pPr>
        <w:pStyle w:val="2"/>
        <w:rPr>
          <w:rFonts w:hint="default"/>
          <w:lang w:val="en-US" w:eastAsia="zh-CN"/>
        </w:rPr>
      </w:pPr>
      <w:r>
        <w:drawing>
          <wp:inline distT="0" distB="0" distL="114300" distR="114300">
            <wp:extent cx="5610225" cy="7886700"/>
            <wp:effectExtent l="0" t="0" r="9525"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3"/>
                    <a:stretch>
                      <a:fillRect/>
                    </a:stretch>
                  </pic:blipFill>
                  <pic:spPr>
                    <a:xfrm>
                      <a:off x="0" y="0"/>
                      <a:ext cx="5610225" cy="7886700"/>
                    </a:xfrm>
                    <a:prstGeom prst="rect">
                      <a:avLst/>
                    </a:prstGeom>
                    <a:noFill/>
                    <a:ln>
                      <a:noFill/>
                    </a:ln>
                  </pic:spPr>
                </pic:pic>
              </a:graphicData>
            </a:graphic>
          </wp:inline>
        </w:drawing>
      </w:r>
    </w:p>
    <w:p>
      <w:pPr>
        <w:pStyle w:val="11"/>
        <w:rPr>
          <w:rFonts w:hint="default"/>
          <w:lang w:val="en-US" w:eastAsia="zh-CN"/>
        </w:rPr>
      </w:pPr>
    </w:p>
    <w:p>
      <w:pPr>
        <w:pStyle w:val="11"/>
        <w:jc w:val="center"/>
        <w:rPr>
          <w:rFonts w:hint="default" w:eastAsiaTheme="minorEastAsia"/>
          <w:b/>
          <w:bCs/>
          <w:sz w:val="24"/>
          <w:szCs w:val="24"/>
          <w:lang w:val="en-US" w:eastAsia="zh-CN"/>
        </w:rPr>
      </w:pPr>
      <w:r>
        <w:rPr>
          <w:rFonts w:hint="eastAsia" w:ascii="Times New Roman" w:hAnsi="Times New Roman" w:cs="Times New Roman"/>
          <w:b/>
          <w:bCs/>
          <w:color w:val="000000"/>
          <w:sz w:val="24"/>
          <w:szCs w:val="24"/>
          <w:lang w:val="en-US" w:eastAsia="zh-CN"/>
        </w:rPr>
        <w:t>图</w:t>
      </w:r>
      <w:r>
        <w:rPr>
          <w:rFonts w:hint="default" w:ascii="Times New Roman" w:hAnsi="Times New Roman" w:cs="Times New Roman"/>
          <w:b/>
          <w:bCs/>
          <w:color w:val="auto"/>
          <w:sz w:val="24"/>
          <w:szCs w:val="24"/>
          <w:lang w:val="en-US" w:eastAsia="zh-CN"/>
        </w:rPr>
        <w:t xml:space="preserve">9.1-1 </w:t>
      </w:r>
      <w:r>
        <w:rPr>
          <w:rFonts w:hint="eastAsia" w:ascii="Times New Roman" w:hAnsi="Times New Roman" w:cs="Times New Roman" w:eastAsiaTheme="minorEastAsia"/>
          <w:b/>
          <w:bCs/>
          <w:color w:val="000000"/>
          <w:sz w:val="24"/>
          <w:szCs w:val="24"/>
          <w:lang w:val="zh-CN"/>
        </w:rPr>
        <w:t>江苏绿泰检测科技有限公司</w:t>
      </w:r>
      <w:r>
        <w:rPr>
          <w:rFonts w:hint="eastAsia" w:ascii="Times New Roman" w:hAnsi="Times New Roman" w:cs="Times New Roman"/>
          <w:b/>
          <w:bCs/>
          <w:color w:val="000000"/>
          <w:sz w:val="24"/>
          <w:szCs w:val="24"/>
          <w:lang w:val="en-US" w:eastAsia="zh-CN"/>
        </w:rPr>
        <w:t>CMA资质证书</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70" w:name="_Toc30644"/>
      <w:bookmarkStart w:id="71" w:name="_Toc8757"/>
      <w:r>
        <w:rPr>
          <w:rFonts w:hint="eastAsia"/>
          <w:lang w:val="en-US" w:eastAsia="zh-CN"/>
        </w:rPr>
        <w:t>9.2</w:t>
      </w:r>
      <w:bookmarkEnd w:id="70"/>
      <w:r>
        <w:rPr>
          <w:rFonts w:hint="eastAsia"/>
          <w:lang w:val="en-US" w:eastAsia="zh-CN"/>
        </w:rPr>
        <w:t>监测方案制定的质量保证与控制</w:t>
      </w:r>
      <w:bookmarkEnd w:id="71"/>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lang w:val="en-US" w:eastAsia="zh-CN"/>
        </w:rPr>
      </w:pPr>
      <w:r>
        <w:rPr>
          <w:rFonts w:hint="eastAsia" w:asciiTheme="minorEastAsia" w:hAnsiTheme="minorEastAsia" w:cstheme="minorEastAsia"/>
          <w:color w:val="auto"/>
          <w:sz w:val="24"/>
          <w:szCs w:val="24"/>
          <w:lang w:val="en-US" w:eastAsia="zh-CN"/>
        </w:rPr>
        <w:t>根据《检验检测机构资质认定能力评价检验检测机构通用要求》，</w:t>
      </w:r>
      <w:r>
        <w:rPr>
          <w:rFonts w:hint="eastAsia" w:ascii="Times New Roman" w:hAnsi="Times New Roman" w:cs="Times New Roman" w:eastAsiaTheme="minorEastAsia"/>
          <w:color w:val="000000"/>
          <w:sz w:val="24"/>
          <w:szCs w:val="20"/>
          <w:lang w:val="zh-CN"/>
        </w:rPr>
        <w:t>江苏绿泰检测科技有限公司</w:t>
      </w:r>
      <w:r>
        <w:rPr>
          <w:rFonts w:hint="eastAsia" w:asciiTheme="minorEastAsia" w:hAnsiTheme="minorEastAsia" w:cstheme="minorEastAsia"/>
          <w:color w:val="auto"/>
          <w:sz w:val="24"/>
          <w:szCs w:val="24"/>
          <w:lang w:val="en-US" w:eastAsia="zh-CN"/>
        </w:rPr>
        <w:t>从事检测工作的技术人员均经考核并取得上岗证书；影响检测数据准确性的检测仪器均经过计量校准或检定，取得证书，并在校准或检定有效期内使用。</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项目负责人通过资料收集、现场探勘、人员访谈等活动编制了土壤和地下水自行监测方案，方案递交</w:t>
      </w:r>
      <w:r>
        <w:rPr>
          <w:rFonts w:hint="eastAsia" w:ascii="Times New Roman" w:hAnsi="Times New Roman" w:cs="Times New Roman"/>
          <w:color w:val="000000"/>
          <w:sz w:val="24"/>
          <w:szCs w:val="20"/>
          <w:lang w:val="en-US" w:eastAsia="zh-CN"/>
        </w:rPr>
        <w:t>南通常佑药业科技有限公司</w:t>
      </w:r>
      <w:r>
        <w:rPr>
          <w:rFonts w:hint="eastAsia" w:ascii="Times New Roman" w:hAnsi="Times New Roman" w:cs="Times New Roman" w:eastAsiaTheme="minorEastAsia"/>
          <w:color w:val="000000"/>
          <w:sz w:val="24"/>
          <w:szCs w:val="20"/>
          <w:lang w:val="en-US" w:eastAsia="zh-CN"/>
        </w:rPr>
        <w:t>评估确认以后，最终形成了土壤和地下水自行监测方案。</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72" w:name="_Toc7287"/>
      <w:bookmarkStart w:id="73" w:name="_Toc2995"/>
      <w:r>
        <w:rPr>
          <w:rFonts w:hint="eastAsia"/>
          <w:lang w:val="en-US" w:eastAsia="zh-CN"/>
        </w:rPr>
        <w:t>9.3样品采集、保存与流转的质量保证与控制</w:t>
      </w:r>
      <w:bookmarkEnd w:id="72"/>
      <w:bookmarkEnd w:id="73"/>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74" w:name="_Toc24852"/>
      <w:r>
        <w:rPr>
          <w:rFonts w:hint="eastAsia"/>
          <w:lang w:val="en-US" w:eastAsia="zh-CN"/>
        </w:rPr>
        <w:t>9.3.1采样前准备</w:t>
      </w:r>
      <w:bookmarkEnd w:id="74"/>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依据采样方案，选择适合的钻探方法和设备，与钻探单位和检测单位进行技术交底，明确任务分工和要求。钻探设备的选取应综合考虑地块的建构筑物条件、安全条件、地层岩性、采样深度和污染物特性等因素，并满足取样的要求。其中，挥发性有机物（</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）和恶臭污染土壤的采样，应采用非扰动的钻探设备。</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2</w:t>
      </w:r>
      <w:r>
        <w:rPr>
          <w:rFonts w:hint="eastAsia" w:ascii="Times New Roman" w:hAnsi="Times New Roman" w:cs="Times New Roman" w:eastAsiaTheme="minorEastAsia"/>
          <w:color w:val="000000"/>
          <w:sz w:val="24"/>
          <w:szCs w:val="20"/>
          <w:lang w:val="en-US" w:eastAsia="zh-CN"/>
        </w:rPr>
        <w:t xml:space="preserve">）与土地使用权人沟通并确认采样计划，提出现场采样调查需协助配合的具体要求。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3</w:t>
      </w:r>
      <w:r>
        <w:rPr>
          <w:rFonts w:hint="eastAsia" w:ascii="Times New Roman" w:hAnsi="Times New Roman" w:cs="Times New Roman" w:eastAsiaTheme="minorEastAsia"/>
          <w:color w:val="000000"/>
          <w:sz w:val="24"/>
          <w:szCs w:val="20"/>
          <w:lang w:val="en-US" w:eastAsia="zh-CN"/>
        </w:rPr>
        <w:t>）由采样调查单位、土地使用权人和钻探单位组织进场前安全培训，培训内容包括设备的安全使用、现场人员安全防护及应急预案等。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4</w:t>
      </w:r>
      <w:r>
        <w:rPr>
          <w:rFonts w:hint="eastAsia" w:ascii="Times New Roman" w:hAnsi="Times New Roman" w:cs="Times New Roman" w:eastAsiaTheme="minorEastAsia"/>
          <w:color w:val="000000"/>
          <w:sz w:val="24"/>
          <w:szCs w:val="20"/>
          <w:lang w:val="en-US" w:eastAsia="zh-CN"/>
        </w:rPr>
        <w:t xml:space="preserve">）采样工具应根据土壤样品检测项目进行选择。非扰动采样器用于检测 </w:t>
      </w:r>
      <w:r>
        <w:rPr>
          <w:rFonts w:hint="default" w:ascii="Times New Roman" w:hAnsi="Times New Roman" w:cs="Times New Roman" w:eastAsiaTheme="minorEastAsia"/>
          <w:color w:val="000000"/>
          <w:sz w:val="24"/>
          <w:szCs w:val="20"/>
          <w:lang w:val="en-US" w:eastAsia="zh-CN"/>
        </w:rPr>
        <w:t xml:space="preserve">VOCs </w:t>
      </w:r>
      <w:r>
        <w:rPr>
          <w:rFonts w:hint="eastAsia" w:ascii="Times New Roman" w:hAnsi="Times New Roman" w:cs="Times New Roman" w:eastAsiaTheme="minorEastAsia"/>
          <w:color w:val="000000"/>
          <w:sz w:val="24"/>
          <w:szCs w:val="20"/>
          <w:lang w:val="en-US" w:eastAsia="zh-CN"/>
        </w:rPr>
        <w:t>土壤样品采集，不锈钢铲或表面镀特氟龙膜的采样铲可用于检测非挥发性和半挥发性有机物（</w:t>
      </w:r>
      <w:r>
        <w:rPr>
          <w:rFonts w:hint="default" w:ascii="Times New Roman" w:hAnsi="Times New Roman" w:cs="Times New Roman" w:eastAsiaTheme="minorEastAsia"/>
          <w:color w:val="000000"/>
          <w:sz w:val="24"/>
          <w:szCs w:val="20"/>
          <w:lang w:val="en-US" w:eastAsia="zh-CN"/>
        </w:rPr>
        <w:t>SVOCs</w:t>
      </w:r>
      <w:r>
        <w:rPr>
          <w:rFonts w:hint="eastAsia" w:ascii="Times New Roman" w:hAnsi="Times New Roman" w:cs="Times New Roman" w:eastAsiaTheme="minorEastAsia"/>
          <w:color w:val="000000"/>
          <w:sz w:val="24"/>
          <w:szCs w:val="20"/>
          <w:lang w:val="en-US" w:eastAsia="zh-CN"/>
        </w:rPr>
        <w:t xml:space="preserve">）土壤样品采集，塑料铲或竹铲可用于检测重金属土壤样品采集。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5</w:t>
      </w:r>
      <w:r>
        <w:rPr>
          <w:rFonts w:hint="eastAsia" w:ascii="Times New Roman" w:hAnsi="Times New Roman" w:cs="Times New Roman" w:eastAsiaTheme="minorEastAsia"/>
          <w:color w:val="000000"/>
          <w:sz w:val="24"/>
          <w:szCs w:val="20"/>
          <w:lang w:val="en-US" w:eastAsia="zh-CN"/>
        </w:rPr>
        <w:t xml:space="preserve">）根据地下水样品采集需要，选择并准备合适的洗井和采样设备，检查洗井和采样设备运行情况，确定设备材质不会对样品检测产生影响。针对含 </w:t>
      </w:r>
      <w:r>
        <w:rPr>
          <w:rFonts w:hint="default" w:ascii="Times New Roman" w:hAnsi="Times New Roman" w:cs="Times New Roman" w:eastAsiaTheme="minorEastAsia"/>
          <w:color w:val="000000"/>
          <w:sz w:val="24"/>
          <w:szCs w:val="20"/>
          <w:lang w:val="en-US" w:eastAsia="zh-CN"/>
        </w:rPr>
        <w:t xml:space="preserve">VOCs </w:t>
      </w:r>
      <w:r>
        <w:rPr>
          <w:rFonts w:hint="eastAsia" w:ascii="Times New Roman" w:hAnsi="Times New Roman" w:cs="Times New Roman" w:eastAsiaTheme="minorEastAsia"/>
          <w:color w:val="000000"/>
          <w:sz w:val="24"/>
          <w:szCs w:val="20"/>
          <w:lang w:val="en-US" w:eastAsia="zh-CN"/>
        </w:rPr>
        <w:t xml:space="preserve">的地下水洗井和采样，优先考虑采用气囊泵或低流量潜水泵，或具有低流量调节阀的贝勒管。针对氯代有机污染物的地下水洗井和采样，避免使用氯乙烯或苯乙烯类共聚物材质的洗井及采样设备。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6</w:t>
      </w:r>
      <w:r>
        <w:rPr>
          <w:rFonts w:hint="eastAsia" w:ascii="Times New Roman" w:hAnsi="Times New Roman" w:cs="Times New Roman" w:eastAsiaTheme="minorEastAsia"/>
          <w:color w:val="000000"/>
          <w:sz w:val="24"/>
          <w:szCs w:val="20"/>
          <w:lang w:val="en-US" w:eastAsia="zh-CN"/>
        </w:rPr>
        <w:t>）根据土壤采样现场监测需要，准备</w:t>
      </w:r>
      <w:r>
        <w:rPr>
          <w:rFonts w:hint="default" w:ascii="Times New Roman" w:hAnsi="Times New Roman" w:cs="Times New Roman" w:eastAsiaTheme="minorEastAsia"/>
          <w:color w:val="000000"/>
          <w:sz w:val="24"/>
          <w:szCs w:val="20"/>
          <w:lang w:val="en-US" w:eastAsia="zh-CN"/>
        </w:rPr>
        <w:t>pH</w:t>
      </w:r>
      <w:r>
        <w:rPr>
          <w:rFonts w:hint="eastAsia" w:ascii="Times New Roman" w:hAnsi="Times New Roman" w:cs="Times New Roman" w:eastAsiaTheme="minorEastAsia"/>
          <w:color w:val="000000"/>
          <w:sz w:val="24"/>
          <w:szCs w:val="20"/>
          <w:lang w:val="en-US" w:eastAsia="zh-CN"/>
        </w:rPr>
        <w:t xml:space="preserve">计、溶解氧仪、电导率和氧化还原电位仪等现场快速检测设备和手持智能终端，检查设备运行状况，使用前进行校准。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7</w:t>
      </w:r>
      <w:r>
        <w:rPr>
          <w:rFonts w:hint="eastAsia" w:ascii="Times New Roman" w:hAnsi="Times New Roman" w:cs="Times New Roman" w:eastAsiaTheme="minorEastAsia"/>
          <w:color w:val="000000"/>
          <w:sz w:val="24"/>
          <w:szCs w:val="20"/>
          <w:lang w:val="en-US" w:eastAsia="zh-CN"/>
        </w:rPr>
        <w:t xml:space="preserve">）根据样品保存需要，准备冰柜、样品箱、样品瓶和蓝冰等样品保存工具，检查设备保温效果、样品瓶种类和数量、保护剂添加等情况。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zh-CN"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8</w:t>
      </w:r>
      <w:r>
        <w:rPr>
          <w:rFonts w:hint="eastAsia" w:ascii="Times New Roman" w:hAnsi="Times New Roman" w:cs="Times New Roman" w:eastAsiaTheme="minorEastAsia"/>
          <w:color w:val="000000"/>
          <w:sz w:val="24"/>
          <w:szCs w:val="20"/>
          <w:lang w:val="en-US" w:eastAsia="zh-CN"/>
        </w:rPr>
        <w:t>）准备安全防护口罩、一次性防护手套、安全帽等人员防护用品。</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9</w:t>
      </w:r>
      <w:r>
        <w:rPr>
          <w:rFonts w:hint="eastAsia" w:ascii="Times New Roman" w:hAnsi="Times New Roman" w:cs="Times New Roman" w:eastAsiaTheme="minorEastAsia"/>
          <w:color w:val="000000"/>
          <w:sz w:val="24"/>
          <w:szCs w:val="20"/>
          <w:lang w:val="en-US" w:eastAsia="zh-CN"/>
        </w:rPr>
        <w:t>）准备采样记录单、影像记录设备、防雨器具、现场通讯工具等其他采样辅助物品。</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75" w:name="_Toc8323"/>
      <w:bookmarkStart w:id="76" w:name="_Toc22434"/>
      <w:bookmarkStart w:id="77" w:name="_Toc30386"/>
      <w:r>
        <w:rPr>
          <w:rFonts w:hint="eastAsia"/>
          <w:lang w:val="en-US" w:eastAsia="zh-CN"/>
        </w:rPr>
        <w:t>9.3.2土壤的样品采集</w:t>
      </w:r>
      <w:bookmarkEnd w:id="75"/>
      <w:bookmarkEnd w:id="76"/>
      <w:bookmarkEnd w:id="77"/>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 xml:space="preserve">）土壤样品采集一般要求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用于检测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的土壤样品应单独采集，不允许对样品进行均质化处理，也不得采集混合样。取土器将柱状的钻探岩芯取出后，先采集用于检测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的土壤样品，具体流程和要求如下：用刮刀剔除</w:t>
      </w:r>
      <w:r>
        <w:rPr>
          <w:rFonts w:hint="default" w:ascii="Times New Roman" w:hAnsi="Times New Roman" w:cs="Times New Roman" w:eastAsiaTheme="minorEastAsia"/>
          <w:color w:val="000000"/>
          <w:sz w:val="24"/>
          <w:szCs w:val="20"/>
          <w:lang w:val="en-US" w:eastAsia="zh-CN"/>
        </w:rPr>
        <w:t>1cm~2cm</w:t>
      </w:r>
      <w:r>
        <w:rPr>
          <w:rFonts w:hint="eastAsia" w:ascii="Times New Roman" w:hAnsi="Times New Roman" w:cs="Times New Roman" w:eastAsiaTheme="minorEastAsia"/>
          <w:color w:val="000000"/>
          <w:sz w:val="24"/>
          <w:szCs w:val="20"/>
          <w:lang w:val="en-US" w:eastAsia="zh-CN"/>
        </w:rPr>
        <w:t>表层土壤，在新的土壤切面处快速采集样品。针对检测</w:t>
      </w:r>
      <w:r>
        <w:rPr>
          <w:rFonts w:hint="default" w:ascii="Times New Roman" w:hAnsi="Times New Roman" w:cs="Times New Roman" w:eastAsiaTheme="minorEastAsia"/>
          <w:color w:val="000000"/>
          <w:sz w:val="24"/>
          <w:szCs w:val="20"/>
          <w:lang w:val="en-US" w:eastAsia="zh-CN"/>
        </w:rPr>
        <w:t xml:space="preserve">VOCs </w:t>
      </w:r>
      <w:r>
        <w:rPr>
          <w:rFonts w:hint="eastAsia" w:ascii="Times New Roman" w:hAnsi="Times New Roman" w:cs="Times New Roman" w:eastAsiaTheme="minorEastAsia"/>
          <w:color w:val="000000"/>
          <w:sz w:val="24"/>
          <w:szCs w:val="20"/>
          <w:lang w:val="en-US" w:eastAsia="zh-CN"/>
        </w:rPr>
        <w:t>的土壤样品，应用非扰动采样器采集不少于</w:t>
      </w:r>
      <w:r>
        <w:rPr>
          <w:rFonts w:hint="default" w:ascii="Times New Roman" w:hAnsi="Times New Roman" w:cs="Times New Roman" w:eastAsiaTheme="minorEastAsia"/>
          <w:color w:val="000000"/>
          <w:sz w:val="24"/>
          <w:szCs w:val="20"/>
          <w:lang w:val="en-US" w:eastAsia="zh-CN"/>
        </w:rPr>
        <w:t>5g</w:t>
      </w:r>
      <w:r>
        <w:rPr>
          <w:rFonts w:hint="eastAsia" w:ascii="Times New Roman" w:hAnsi="Times New Roman" w:cs="Times New Roman" w:eastAsiaTheme="minorEastAsia"/>
          <w:color w:val="000000"/>
          <w:sz w:val="24"/>
          <w:szCs w:val="20"/>
          <w:lang w:val="en-US" w:eastAsia="zh-CN"/>
        </w:rPr>
        <w:t>原状岩芯的土壤样品推入加有</w:t>
      </w:r>
      <w:r>
        <w:rPr>
          <w:rFonts w:hint="default" w:ascii="Times New Roman" w:hAnsi="Times New Roman" w:cs="Times New Roman" w:eastAsiaTheme="minorEastAsia"/>
          <w:color w:val="000000"/>
          <w:sz w:val="24"/>
          <w:szCs w:val="20"/>
          <w:lang w:val="en-US" w:eastAsia="zh-CN"/>
        </w:rPr>
        <w:t>10mL</w:t>
      </w:r>
      <w:r>
        <w:rPr>
          <w:rFonts w:hint="eastAsia" w:ascii="Times New Roman" w:hAnsi="Times New Roman" w:cs="Times New Roman" w:eastAsiaTheme="minorEastAsia"/>
          <w:color w:val="000000"/>
          <w:sz w:val="24"/>
          <w:szCs w:val="20"/>
          <w:lang w:val="en-US" w:eastAsia="zh-CN"/>
        </w:rPr>
        <w:t>甲醇（色谱级或农残级）保护剂的</w:t>
      </w:r>
      <w:r>
        <w:rPr>
          <w:rFonts w:hint="default" w:ascii="Times New Roman" w:hAnsi="Times New Roman" w:cs="Times New Roman" w:eastAsiaTheme="minorEastAsia"/>
          <w:color w:val="000000"/>
          <w:sz w:val="24"/>
          <w:szCs w:val="20"/>
          <w:lang w:val="en-US" w:eastAsia="zh-CN"/>
        </w:rPr>
        <w:t>40 mL</w:t>
      </w:r>
      <w:r>
        <w:rPr>
          <w:rFonts w:hint="eastAsia" w:ascii="Times New Roman" w:hAnsi="Times New Roman" w:cs="Times New Roman" w:eastAsiaTheme="minorEastAsia"/>
          <w:color w:val="000000"/>
          <w:sz w:val="24"/>
          <w:szCs w:val="20"/>
          <w:lang w:val="en-US" w:eastAsia="zh-CN"/>
        </w:rPr>
        <w:t>棕色样品瓶内，推入时将样品瓶略微倾斜，防止将保护剂溅出；检测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的土壤样品应采集双份，一份用于检测，一份留作备份。用于检测含水率、重金属、</w:t>
      </w:r>
      <w:r>
        <w:rPr>
          <w:rFonts w:hint="default" w:ascii="Times New Roman" w:hAnsi="Times New Roman" w:cs="Times New Roman" w:eastAsiaTheme="minorEastAsia"/>
          <w:color w:val="000000"/>
          <w:sz w:val="24"/>
          <w:szCs w:val="20"/>
          <w:lang w:val="en-US" w:eastAsia="zh-CN"/>
        </w:rPr>
        <w:t>SVOCs</w:t>
      </w:r>
      <w:r>
        <w:rPr>
          <w:rFonts w:hint="eastAsia" w:ascii="Times New Roman" w:hAnsi="Times New Roman" w:cs="Times New Roman" w:eastAsiaTheme="minorEastAsia"/>
          <w:color w:val="000000"/>
          <w:sz w:val="24"/>
          <w:szCs w:val="20"/>
          <w:lang w:val="en-US" w:eastAsia="zh-CN"/>
        </w:rPr>
        <w:t xml:space="preserve">等指标的土壤样品，可用采样铲将土壤转移至广口样品瓶内并装满填实。采样过程应剔除石块等杂质，保持采样瓶口螺纹清洁以防止密 封不严。土壤装入样品瓶后，使用手持智能终端系统记录样品编码、采样日期和采样人员等信息，打印后贴到样品瓶上（建议同时用橡皮筋固定）。为了防止样品瓶上编码信息丢失，应同时在样品瓶原有标签上手写样品编码和采样日期，要求字迹清晰可辨。土壤采样完成后，样品瓶需用泡沫塑料袋包裹，随即放入现场带有冷冻蓝冰的样品箱内进行临时保存。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2</w:t>
      </w:r>
      <w:r>
        <w:rPr>
          <w:rFonts w:hint="eastAsia" w:ascii="Times New Roman" w:hAnsi="Times New Roman" w:cs="Times New Roman" w:eastAsiaTheme="minorEastAsia"/>
          <w:color w:val="000000"/>
          <w:sz w:val="24"/>
          <w:szCs w:val="20"/>
          <w:lang w:val="en-US" w:eastAsia="zh-CN"/>
        </w:rPr>
        <w:t xml:space="preserve">）土壤平行样要求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土壤平行样应不少于地块总样品数的</w:t>
      </w:r>
      <w:r>
        <w:rPr>
          <w:rFonts w:hint="default" w:ascii="Times New Roman" w:hAnsi="Times New Roman" w:cs="Times New Roman" w:eastAsiaTheme="minorEastAsia"/>
          <w:color w:val="000000"/>
          <w:sz w:val="24"/>
          <w:szCs w:val="20"/>
          <w:lang w:val="en-US" w:eastAsia="zh-CN"/>
        </w:rPr>
        <w:t>10%</w:t>
      </w:r>
      <w:r>
        <w:rPr>
          <w:rFonts w:hint="eastAsia" w:ascii="Times New Roman" w:hAnsi="Times New Roman" w:cs="Times New Roman" w:eastAsiaTheme="minorEastAsia"/>
          <w:color w:val="000000"/>
          <w:sz w:val="24"/>
          <w:szCs w:val="20"/>
          <w:lang w:val="en-US" w:eastAsia="zh-CN"/>
        </w:rPr>
        <w:t>，每个地块至少采集</w:t>
      </w: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 xml:space="preserve">份。平行样应在土样同一位置采集，两者检测项目和检测方法应一致，在采样记录单中标注平行样编号及对应的土壤样品编号。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3</w:t>
      </w:r>
      <w:r>
        <w:rPr>
          <w:rFonts w:hint="eastAsia" w:ascii="Times New Roman" w:hAnsi="Times New Roman" w:cs="Times New Roman" w:eastAsiaTheme="minorEastAsia"/>
          <w:color w:val="000000"/>
          <w:sz w:val="24"/>
          <w:szCs w:val="20"/>
          <w:lang w:val="en-US" w:eastAsia="zh-CN"/>
        </w:rPr>
        <w:t xml:space="preserve">）土壤样品采集拍照记录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土壤样品采集过程应针对采样工具、采集位置、</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和</w:t>
      </w:r>
      <w:r>
        <w:rPr>
          <w:rFonts w:hint="default" w:ascii="Times New Roman" w:hAnsi="Times New Roman" w:cs="Times New Roman" w:eastAsiaTheme="minorEastAsia"/>
          <w:color w:val="000000"/>
          <w:sz w:val="24"/>
          <w:szCs w:val="20"/>
          <w:lang w:val="en-US" w:eastAsia="zh-CN"/>
        </w:rPr>
        <w:t>SVOCs</w:t>
      </w:r>
      <w:r>
        <w:rPr>
          <w:rFonts w:hint="eastAsia" w:ascii="Times New Roman" w:hAnsi="Times New Roman" w:cs="Times New Roman" w:eastAsiaTheme="minorEastAsia"/>
          <w:color w:val="000000"/>
          <w:sz w:val="24"/>
          <w:szCs w:val="20"/>
          <w:lang w:val="en-US" w:eastAsia="zh-CN"/>
        </w:rPr>
        <w:t>采样瓶土壤装样过程、样品瓶编号、盛放柱状样的岩芯箱、现场检测仪器使用等关键信息拍照记录，每个关键信息至少</w:t>
      </w: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 xml:space="preserve">张照片，以备质量控制。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4</w:t>
      </w:r>
      <w:r>
        <w:rPr>
          <w:rFonts w:hint="eastAsia" w:ascii="Times New Roman" w:hAnsi="Times New Roman" w:cs="Times New Roman" w:eastAsiaTheme="minorEastAsia"/>
          <w:color w:val="000000"/>
          <w:sz w:val="24"/>
          <w:szCs w:val="20"/>
          <w:lang w:val="en-US" w:eastAsia="zh-CN"/>
        </w:rPr>
        <w:t xml:space="preserve">）其他要求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 xml:space="preserve">土壤采样过程中应做好人员安全和健康防护，佩戴安全帽和一次性的口罩、手套，严禁用手直接采集土样，使用后废弃的个人防护用品应统一收集处置；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采样前后应对采样器进行除污和清洗，不同土壤样品采集应更换手套，避免交叉污染。</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78" w:name="_Toc18249"/>
      <w:bookmarkStart w:id="79" w:name="_Toc1043"/>
      <w:bookmarkStart w:id="80" w:name="_Toc23969"/>
      <w:r>
        <w:rPr>
          <w:rFonts w:hint="eastAsia"/>
          <w:lang w:val="en-US" w:eastAsia="zh-CN"/>
        </w:rPr>
        <w:t>9.3.3地下水的样品采集</w:t>
      </w:r>
      <w:bookmarkEnd w:id="78"/>
      <w:bookmarkEnd w:id="79"/>
      <w:bookmarkEnd w:id="80"/>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）采样洗井达到要求后，测量并记录水位，若地下水水位变化小于</w:t>
      </w:r>
      <w:r>
        <w:rPr>
          <w:rFonts w:hint="default" w:ascii="Times New Roman" w:hAnsi="Times New Roman" w:cs="Times New Roman" w:eastAsiaTheme="minorEastAsia"/>
          <w:color w:val="000000"/>
          <w:sz w:val="24"/>
          <w:szCs w:val="20"/>
          <w:lang w:val="en-US" w:eastAsia="zh-CN"/>
        </w:rPr>
        <w:t>10cm</w:t>
      </w:r>
      <w:r>
        <w:rPr>
          <w:rFonts w:hint="eastAsia" w:ascii="Times New Roman" w:hAnsi="Times New Roman" w:cs="Times New Roman" w:eastAsiaTheme="minorEastAsia"/>
          <w:color w:val="000000"/>
          <w:sz w:val="24"/>
          <w:szCs w:val="20"/>
          <w:lang w:val="en-US" w:eastAsia="zh-CN"/>
        </w:rPr>
        <w:t>，则可以立即采样；若地下水水位变化超过</w:t>
      </w:r>
      <w:r>
        <w:rPr>
          <w:rFonts w:hint="default" w:ascii="Times New Roman" w:hAnsi="Times New Roman" w:cs="Times New Roman" w:eastAsiaTheme="minorEastAsia"/>
          <w:color w:val="000000"/>
          <w:sz w:val="24"/>
          <w:szCs w:val="20"/>
          <w:lang w:val="en-US" w:eastAsia="zh-CN"/>
        </w:rPr>
        <w:t>10cm</w:t>
      </w:r>
      <w:r>
        <w:rPr>
          <w:rFonts w:hint="eastAsia" w:ascii="Times New Roman" w:hAnsi="Times New Roman" w:cs="Times New Roman" w:eastAsiaTheme="minorEastAsia"/>
          <w:color w:val="000000"/>
          <w:sz w:val="24"/>
          <w:szCs w:val="20"/>
          <w:lang w:val="en-US" w:eastAsia="zh-CN"/>
        </w:rPr>
        <w:t>，应待地下水位再次稳定后采样，若地下水回补速度较慢，原则上应在洗井后</w:t>
      </w:r>
      <w:r>
        <w:rPr>
          <w:rFonts w:hint="default" w:ascii="Times New Roman" w:hAnsi="Times New Roman" w:cs="Times New Roman" w:eastAsiaTheme="minorEastAsia"/>
          <w:color w:val="000000"/>
          <w:sz w:val="24"/>
          <w:szCs w:val="20"/>
          <w:lang w:val="en-US" w:eastAsia="zh-CN"/>
        </w:rPr>
        <w:t>2 h</w:t>
      </w:r>
      <w:r>
        <w:rPr>
          <w:rFonts w:hint="eastAsia" w:ascii="Times New Roman" w:hAnsi="Times New Roman" w:cs="Times New Roman" w:eastAsiaTheme="minorEastAsia"/>
          <w:color w:val="000000"/>
          <w:sz w:val="24"/>
          <w:szCs w:val="20"/>
          <w:lang w:val="en-US" w:eastAsia="zh-CN"/>
        </w:rPr>
        <w:t xml:space="preserve">内完成地下水采样。若洗井过程中发现水面有浮油类物质，需要在采样记录单里明确注明。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2</w:t>
      </w:r>
      <w:r>
        <w:rPr>
          <w:rFonts w:hint="eastAsia" w:ascii="Times New Roman" w:hAnsi="Times New Roman" w:cs="Times New Roman" w:eastAsiaTheme="minorEastAsia"/>
          <w:color w:val="000000"/>
          <w:sz w:val="24"/>
          <w:szCs w:val="20"/>
          <w:lang w:val="en-US" w:eastAsia="zh-CN"/>
        </w:rPr>
        <w:t>）地下水样品采集应先采集用于检测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的水样，然后再采集用于检测其他水质指标的水样。对于未添加保护剂的样品瓶，地下水采样前需用待采集水样润洗</w:t>
      </w:r>
      <w:r>
        <w:rPr>
          <w:rFonts w:hint="default" w:ascii="Times New Roman" w:hAnsi="Times New Roman" w:cs="Times New Roman" w:eastAsiaTheme="minorEastAsia"/>
          <w:color w:val="000000"/>
          <w:sz w:val="24"/>
          <w:szCs w:val="20"/>
          <w:lang w:val="en-US" w:eastAsia="zh-CN"/>
        </w:rPr>
        <w:t>2~3</w:t>
      </w:r>
      <w:r>
        <w:rPr>
          <w:rFonts w:hint="eastAsia" w:ascii="Times New Roman" w:hAnsi="Times New Roman" w:cs="Times New Roman" w:eastAsiaTheme="minorEastAsia"/>
          <w:color w:val="000000"/>
          <w:sz w:val="24"/>
          <w:szCs w:val="20"/>
          <w:lang w:val="en-US" w:eastAsia="zh-CN"/>
        </w:rPr>
        <w:t>次。采集检测</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的水样时，优先采用气囊泵或低流量潜水泵，控制采样水流速度不高于</w:t>
      </w:r>
      <w:r>
        <w:rPr>
          <w:rFonts w:hint="default" w:ascii="Times New Roman" w:hAnsi="Times New Roman" w:cs="Times New Roman" w:eastAsiaTheme="minorEastAsia"/>
          <w:color w:val="000000"/>
          <w:sz w:val="24"/>
          <w:szCs w:val="20"/>
          <w:lang w:val="en-US" w:eastAsia="zh-CN"/>
        </w:rPr>
        <w:t>0.3 L/min</w:t>
      </w:r>
      <w:r>
        <w:rPr>
          <w:rFonts w:hint="eastAsia" w:ascii="Times New Roman" w:hAnsi="Times New Roman" w:cs="Times New Roman" w:eastAsiaTheme="minorEastAsia"/>
          <w:color w:val="000000"/>
          <w:sz w:val="24"/>
          <w:szCs w:val="20"/>
          <w:lang w:val="en-US" w:eastAsia="zh-CN"/>
        </w:rPr>
        <w:t xml:space="preserve">。使用低流量潜水泵采样时，应将采样管出水口靠近样品瓶中下部，使水样沿瓶壁缓缓流入瓶中，过程中避免出水口接触液面，直至在瓶口形成一向上弯月面，旋紧瓶盖，避免采样瓶中存在顶空和气泡。使用贝勒管进行地下水样品采集时，应缓慢沉降或提升贝勒管。取出后，通过调节贝勒管下端出水阀或低流量控制器，使水样沿瓶壁缓缓流入瓶中，直至在瓶口形成一向上弯月面，旋紧瓶盖，避免采样瓶中存在顶空和气泡。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地下水装入样品瓶后，</w:t>
      </w:r>
      <w:r>
        <w:rPr>
          <w:rFonts w:hint="eastAsia" w:ascii="Times New Roman" w:hAnsi="Times New Roman" w:cs="Times New Roman"/>
          <w:color w:val="000000"/>
          <w:sz w:val="24"/>
          <w:szCs w:val="20"/>
          <w:lang w:val="en-US" w:eastAsia="zh-CN"/>
        </w:rPr>
        <w:t>立即将样品标签</w:t>
      </w:r>
      <w:r>
        <w:rPr>
          <w:rFonts w:hint="eastAsia" w:ascii="Times New Roman" w:hAnsi="Times New Roman" w:cs="Times New Roman" w:eastAsiaTheme="minorEastAsia"/>
          <w:color w:val="000000"/>
          <w:sz w:val="24"/>
          <w:szCs w:val="20"/>
          <w:lang w:val="en-US" w:eastAsia="zh-CN"/>
        </w:rPr>
        <w:t xml:space="preserve">贴到样品瓶上。地下水采集完成后，样品瓶应用泡沫塑料袋包裹，并立即放入现场装有冷冻蓝冰的样品箱内保存。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3</w:t>
      </w:r>
      <w:r>
        <w:rPr>
          <w:rFonts w:hint="eastAsia" w:ascii="Times New Roman" w:hAnsi="Times New Roman" w:cs="Times New Roman" w:eastAsiaTheme="minorEastAsia"/>
          <w:color w:val="000000"/>
          <w:sz w:val="24"/>
          <w:szCs w:val="20"/>
          <w:lang w:val="en-US" w:eastAsia="zh-CN"/>
        </w:rPr>
        <w:t>）地下水平行样采集要求。地下水平行样应不少于地块总样品数的</w:t>
      </w:r>
      <w:r>
        <w:rPr>
          <w:rFonts w:hint="default" w:ascii="Times New Roman" w:hAnsi="Times New Roman" w:cs="Times New Roman" w:eastAsiaTheme="minorEastAsia"/>
          <w:color w:val="000000"/>
          <w:sz w:val="24"/>
          <w:szCs w:val="20"/>
          <w:lang w:val="en-US" w:eastAsia="zh-CN"/>
        </w:rPr>
        <w:t>10%</w:t>
      </w:r>
      <w:r>
        <w:rPr>
          <w:rFonts w:hint="eastAsia" w:ascii="Times New Roman" w:hAnsi="Times New Roman" w:cs="Times New Roman" w:eastAsiaTheme="minorEastAsia"/>
          <w:color w:val="000000"/>
          <w:sz w:val="24"/>
          <w:szCs w:val="20"/>
          <w:lang w:val="en-US" w:eastAsia="zh-CN"/>
        </w:rPr>
        <w:t>，每个地块至少采集</w:t>
      </w: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 xml:space="preserve">份。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4</w:t>
      </w:r>
      <w:r>
        <w:rPr>
          <w:rFonts w:hint="eastAsia" w:ascii="Times New Roman" w:hAnsi="Times New Roman" w:cs="Times New Roman" w:eastAsiaTheme="minorEastAsia"/>
          <w:color w:val="000000"/>
          <w:sz w:val="24"/>
          <w:szCs w:val="20"/>
          <w:lang w:val="en-US" w:eastAsia="zh-CN"/>
        </w:rPr>
        <w:t xml:space="preserve">）使用非一次性的地下水采样设备，在采样前后需对采样设备进行清洗，清洗过程中产生的废水，应集中收集处置。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5</w:t>
      </w:r>
      <w:r>
        <w:rPr>
          <w:rFonts w:hint="eastAsia" w:ascii="Times New Roman" w:hAnsi="Times New Roman" w:cs="Times New Roman" w:eastAsiaTheme="minorEastAsia"/>
          <w:color w:val="000000"/>
          <w:sz w:val="24"/>
          <w:szCs w:val="20"/>
          <w:lang w:val="en-US" w:eastAsia="zh-CN"/>
        </w:rPr>
        <w:t xml:space="preserve">）地下水采样过程中应做好人员安全和健康防护，佩戴安全帽和一次性的个人防护用品（口罩、手套等），废弃的个人防护用品等垃圾应集中收集处置。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6</w:t>
      </w:r>
      <w:r>
        <w:rPr>
          <w:rFonts w:hint="eastAsia" w:ascii="Times New Roman" w:hAnsi="Times New Roman" w:cs="Times New Roman" w:eastAsiaTheme="minorEastAsia"/>
          <w:color w:val="000000"/>
          <w:sz w:val="24"/>
          <w:szCs w:val="20"/>
          <w:lang w:val="en-US" w:eastAsia="zh-CN"/>
        </w:rPr>
        <w:t xml:space="preserve">）地下水样品采集拍照记录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地下水样品采集过程应对洗井、装样（用于</w:t>
      </w:r>
      <w:r>
        <w:rPr>
          <w:rFonts w:hint="default" w:ascii="Times New Roman" w:hAnsi="Times New Roman" w:cs="Times New Roman" w:eastAsiaTheme="minorEastAsia"/>
          <w:color w:val="000000"/>
          <w:sz w:val="24"/>
          <w:szCs w:val="20"/>
          <w:lang w:val="en-US" w:eastAsia="zh-CN"/>
        </w:rPr>
        <w:t>VOCs</w:t>
      </w:r>
      <w:r>
        <w:rPr>
          <w:rFonts w:hint="eastAsia" w:ascii="Times New Roman" w:hAnsi="Times New Roman" w:cs="Times New Roman" w:eastAsiaTheme="minorEastAsia"/>
          <w:color w:val="000000"/>
          <w:sz w:val="24"/>
          <w:szCs w:val="20"/>
          <w:lang w:val="en-US" w:eastAsia="zh-CN"/>
        </w:rPr>
        <w:t>、</w:t>
      </w:r>
      <w:r>
        <w:rPr>
          <w:rFonts w:hint="default" w:ascii="Times New Roman" w:hAnsi="Times New Roman" w:cs="Times New Roman" w:eastAsiaTheme="minorEastAsia"/>
          <w:color w:val="000000"/>
          <w:sz w:val="24"/>
          <w:szCs w:val="20"/>
          <w:lang w:val="en-US" w:eastAsia="zh-CN"/>
        </w:rPr>
        <w:t>SVOCs</w:t>
      </w:r>
      <w:r>
        <w:rPr>
          <w:rFonts w:hint="eastAsia" w:ascii="Times New Roman" w:hAnsi="Times New Roman" w:cs="Times New Roman" w:eastAsiaTheme="minorEastAsia"/>
          <w:color w:val="000000"/>
          <w:sz w:val="24"/>
          <w:szCs w:val="20"/>
          <w:lang w:val="en-US" w:eastAsia="zh-CN"/>
        </w:rPr>
        <w:t>、重金属和地下水水质监测的样品瓶）、以及采样过程中现场快速监测等环节进行拍照记录，每个环节至少</w:t>
      </w: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张照片，以备质量控制。</w:t>
      </w:r>
    </w:p>
    <w:p>
      <w:pPr>
        <w:pStyle w:val="5"/>
        <w:keepNext/>
        <w:keepLines/>
        <w:pageBreakBefore w:val="0"/>
        <w:widowControl w:val="0"/>
        <w:kinsoku/>
        <w:wordWrap/>
        <w:overflowPunct/>
        <w:topLinePunct w:val="0"/>
        <w:autoSpaceDE/>
        <w:autoSpaceDN/>
        <w:bidi w:val="0"/>
        <w:adjustRightInd/>
        <w:snapToGrid/>
        <w:spacing w:before="220" w:after="220" w:line="440" w:lineRule="exact"/>
        <w:textAlignment w:val="auto"/>
        <w:rPr>
          <w:rFonts w:hint="eastAsia"/>
          <w:lang w:val="en-US" w:eastAsia="zh-CN"/>
        </w:rPr>
      </w:pPr>
      <w:bookmarkStart w:id="81" w:name="_Toc6306"/>
      <w:bookmarkStart w:id="82" w:name="_Toc381"/>
      <w:bookmarkStart w:id="83" w:name="_Toc22205"/>
      <w:r>
        <w:rPr>
          <w:rFonts w:hint="eastAsia"/>
          <w:lang w:val="en-US" w:eastAsia="zh-CN"/>
        </w:rPr>
        <w:t>9.3.4土壤和地下水的样品保存和流转</w:t>
      </w:r>
      <w:bookmarkEnd w:id="81"/>
      <w:bookmarkEnd w:id="82"/>
      <w:bookmarkEnd w:id="83"/>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（1）样品的保存</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土壤样品保存方法参照《土壤环境监测技术规范》（</w:t>
      </w:r>
      <w:r>
        <w:rPr>
          <w:rFonts w:hint="default" w:ascii="Times New Roman" w:hAnsi="Times New Roman" w:cs="Times New Roman" w:eastAsiaTheme="minorEastAsia"/>
          <w:color w:val="000000"/>
          <w:sz w:val="24"/>
          <w:szCs w:val="20"/>
          <w:lang w:val="en-US" w:eastAsia="zh-CN"/>
        </w:rPr>
        <w:t>HJ/T166-2004</w:t>
      </w:r>
      <w:r>
        <w:rPr>
          <w:rFonts w:hint="eastAsia" w:ascii="Times New Roman" w:hAnsi="Times New Roman" w:cs="Times New Roman" w:eastAsiaTheme="minorEastAsia"/>
          <w:color w:val="000000"/>
          <w:sz w:val="24"/>
          <w:szCs w:val="20"/>
          <w:lang w:val="en-US" w:eastAsia="zh-CN"/>
        </w:rPr>
        <w:t>）和全国土壤污染状况详查相关技术规定执行，地下水样品保存方法参照《地下水环境监测技术规范》（</w:t>
      </w:r>
      <w:r>
        <w:rPr>
          <w:rFonts w:hint="default" w:ascii="Times New Roman" w:hAnsi="Times New Roman" w:cs="Times New Roman" w:eastAsiaTheme="minorEastAsia"/>
          <w:color w:val="000000"/>
          <w:sz w:val="24"/>
          <w:szCs w:val="20"/>
          <w:lang w:val="en-US" w:eastAsia="zh-CN"/>
        </w:rPr>
        <w:t>HJ/T164-20</w:t>
      </w:r>
      <w:r>
        <w:rPr>
          <w:rFonts w:hint="eastAsia" w:ascii="Times New Roman" w:hAnsi="Times New Roman" w:cs="Times New Roman"/>
          <w:color w:val="000000"/>
          <w:sz w:val="24"/>
          <w:szCs w:val="20"/>
          <w:lang w:val="en-US" w:eastAsia="zh-CN"/>
        </w:rPr>
        <w:t>20</w:t>
      </w:r>
      <w:r>
        <w:rPr>
          <w:rFonts w:hint="eastAsia" w:ascii="Times New Roman" w:hAnsi="Times New Roman" w:cs="Times New Roman" w:eastAsiaTheme="minorEastAsia"/>
          <w:color w:val="000000"/>
          <w:sz w:val="24"/>
          <w:szCs w:val="20"/>
          <w:lang w:val="en-US" w:eastAsia="zh-CN"/>
        </w:rPr>
        <w:t xml:space="preserve">）执行。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 xml:space="preserve">样品保存包括现场暂存和流转保存两个主要环节，应遵循以下原则进行：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default" w:ascii="Times New Roman" w:hAnsi="Times New Roman" w:cs="Times New Roman" w:eastAsiaTheme="minorEastAsia"/>
          <w:color w:val="000000"/>
          <w:sz w:val="24"/>
          <w:szCs w:val="20"/>
          <w:lang w:val="en-US" w:eastAsia="zh-CN"/>
        </w:rPr>
        <w:t>1</w:t>
      </w:r>
      <w:r>
        <w:rPr>
          <w:rFonts w:hint="eastAsia" w:ascii="Times New Roman" w:hAnsi="Times New Roman" w:cs="Times New Roman" w:eastAsiaTheme="minorEastAsia"/>
          <w:color w:val="000000"/>
          <w:sz w:val="24"/>
          <w:szCs w:val="20"/>
          <w:lang w:val="en-US" w:eastAsia="zh-CN"/>
        </w:rPr>
        <w:t>）根据不同检测项目要求，应在采样前向样品瓶中添加一定量的保护剂，在样品瓶标签上标注检测单位内控编号，并标注样品有效时间。</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default" w:ascii="Times New Roman" w:hAnsi="Times New Roman" w:cs="Times New Roman" w:eastAsiaTheme="minorEastAsia"/>
          <w:color w:val="000000"/>
          <w:sz w:val="24"/>
          <w:szCs w:val="20"/>
          <w:lang w:val="en-US" w:eastAsia="zh-CN"/>
        </w:rPr>
        <w:t>2</w:t>
      </w:r>
      <w:r>
        <w:rPr>
          <w:rFonts w:hint="eastAsia" w:ascii="Times New Roman" w:hAnsi="Times New Roman" w:cs="Times New Roman" w:eastAsiaTheme="minorEastAsia"/>
          <w:color w:val="000000"/>
          <w:sz w:val="24"/>
          <w:szCs w:val="20"/>
          <w:lang w:val="en-US" w:eastAsia="zh-CN"/>
        </w:rPr>
        <w:t>）样品现场暂存。采样现场需配备样品保温箱，内置冰冻蓝冰。样品采集后应立即存放至保温箱内，样品采集当天不能寄送至实验室时，样品需用冷藏柜在</w:t>
      </w:r>
      <w:r>
        <w:rPr>
          <w:rFonts w:hint="default" w:ascii="Times New Roman" w:hAnsi="Times New Roman" w:cs="Times New Roman" w:eastAsiaTheme="minorEastAsia"/>
          <w:color w:val="000000"/>
          <w:sz w:val="24"/>
          <w:szCs w:val="20"/>
          <w:lang w:val="en-US" w:eastAsia="zh-CN"/>
        </w:rPr>
        <w:t>4</w:t>
      </w:r>
      <w:r>
        <w:rPr>
          <w:rFonts w:hint="eastAsia" w:ascii="Times New Roman" w:hAnsi="Times New Roman" w:cs="Times New Roman" w:eastAsiaTheme="minorEastAsia"/>
          <w:color w:val="000000"/>
          <w:sz w:val="24"/>
          <w:szCs w:val="20"/>
          <w:lang w:val="en-US" w:eastAsia="zh-CN"/>
        </w:rPr>
        <w:t xml:space="preserve">℃温度下避光保存。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default" w:ascii="Times New Roman" w:hAnsi="Times New Roman" w:cs="Times New Roman" w:eastAsiaTheme="minorEastAsia"/>
          <w:color w:val="000000"/>
          <w:sz w:val="24"/>
          <w:szCs w:val="20"/>
          <w:lang w:val="en-US" w:eastAsia="zh-CN"/>
        </w:rPr>
        <w:t>3</w:t>
      </w:r>
      <w:r>
        <w:rPr>
          <w:rFonts w:hint="eastAsia" w:ascii="Times New Roman" w:hAnsi="Times New Roman" w:cs="Times New Roman" w:eastAsiaTheme="minorEastAsia"/>
          <w:color w:val="000000"/>
          <w:sz w:val="24"/>
          <w:szCs w:val="20"/>
          <w:lang w:val="en-US" w:eastAsia="zh-CN"/>
        </w:rPr>
        <w:t>）样品流转保存。样品应保存在有冰冻蓝冰的保温箱内寄送或运送到实验室，样品的有效保存时间为从样品采集完成到分析测试结束。</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由于不同样品的组分、浓度和性质不同，同样的保存条件不能保证适用于所有类型的样品，在采样前应根据样品的性质、组分和环境条件来选择适宜的保存方法和保存剂。具体的样品保存措施见下表。</w:t>
      </w:r>
    </w:p>
    <w:p>
      <w:pPr>
        <w:adjustRightInd w:val="0"/>
        <w:snapToGrid w:val="0"/>
        <w:spacing w:line="360" w:lineRule="auto"/>
        <w:ind w:firstLine="482" w:firstLineChars="200"/>
        <w:jc w:val="center"/>
        <w:rPr>
          <w:rFonts w:hint="eastAsia" w:ascii="Times New Roman" w:hAnsi="Times New Roman" w:cs="Times New Roman" w:eastAsiaTheme="minorEastAsia"/>
          <w:b/>
          <w:bCs/>
          <w:color w:val="000000"/>
          <w:sz w:val="24"/>
          <w:szCs w:val="20"/>
          <w:lang w:val="en-US" w:eastAsia="zh-CN"/>
        </w:rPr>
      </w:pPr>
      <w:r>
        <w:rPr>
          <w:rFonts w:hint="eastAsia" w:ascii="Times New Roman" w:hAnsi="Times New Roman" w:cs="Times New Roman" w:eastAsiaTheme="minorEastAsia"/>
          <w:b/>
          <w:bCs/>
          <w:color w:val="000000"/>
          <w:sz w:val="24"/>
          <w:szCs w:val="20"/>
          <w:lang w:val="en-US" w:eastAsia="zh-CN"/>
        </w:rPr>
        <w:t>表</w:t>
      </w:r>
      <w:r>
        <w:rPr>
          <w:rFonts w:hint="eastAsia" w:ascii="Times New Roman" w:hAnsi="Times New Roman" w:cs="Times New Roman"/>
          <w:b/>
          <w:bCs/>
          <w:color w:val="000000"/>
          <w:sz w:val="24"/>
          <w:szCs w:val="20"/>
          <w:lang w:val="en-US" w:eastAsia="zh-CN"/>
        </w:rPr>
        <w:t>9</w:t>
      </w:r>
      <w:r>
        <w:rPr>
          <w:rFonts w:hint="eastAsia" w:ascii="Times New Roman" w:hAnsi="Times New Roman" w:cs="Times New Roman" w:eastAsiaTheme="minorEastAsia"/>
          <w:b/>
          <w:bCs/>
          <w:color w:val="000000"/>
          <w:sz w:val="24"/>
          <w:szCs w:val="20"/>
          <w:lang w:val="en-US" w:eastAsia="zh-CN"/>
        </w:rPr>
        <w:t>.</w:t>
      </w:r>
      <w:r>
        <w:rPr>
          <w:rFonts w:hint="eastAsia" w:ascii="Times New Roman" w:hAnsi="Times New Roman" w:cs="Times New Roman"/>
          <w:b/>
          <w:bCs/>
          <w:color w:val="000000"/>
          <w:sz w:val="24"/>
          <w:szCs w:val="20"/>
          <w:lang w:val="en-US" w:eastAsia="zh-CN"/>
        </w:rPr>
        <w:t>3</w:t>
      </w:r>
      <w:r>
        <w:rPr>
          <w:rFonts w:hint="eastAsia" w:ascii="Times New Roman" w:hAnsi="Times New Roman" w:cs="Times New Roman" w:eastAsiaTheme="minorEastAsia"/>
          <w:b/>
          <w:bCs/>
          <w:color w:val="000000"/>
          <w:sz w:val="24"/>
          <w:szCs w:val="20"/>
          <w:lang w:val="en-US" w:eastAsia="zh-CN"/>
        </w:rPr>
        <w:t>.</w:t>
      </w:r>
      <w:r>
        <w:rPr>
          <w:rFonts w:hint="eastAsia" w:ascii="Times New Roman" w:hAnsi="Times New Roman" w:cs="Times New Roman"/>
          <w:b/>
          <w:bCs/>
          <w:color w:val="000000"/>
          <w:sz w:val="24"/>
          <w:szCs w:val="20"/>
          <w:lang w:val="en-US" w:eastAsia="zh-CN"/>
        </w:rPr>
        <w:t>4</w:t>
      </w:r>
      <w:r>
        <w:rPr>
          <w:rFonts w:hint="eastAsia" w:ascii="Times New Roman" w:hAnsi="Times New Roman" w:cs="Times New Roman" w:eastAsiaTheme="minorEastAsia"/>
          <w:b/>
          <w:bCs/>
          <w:color w:val="000000"/>
          <w:sz w:val="24"/>
          <w:szCs w:val="20"/>
          <w:lang w:val="en-US" w:eastAsia="zh-CN"/>
        </w:rPr>
        <w:t>-1 土壤样品处理及保存方式</w:t>
      </w:r>
    </w:p>
    <w:tbl>
      <w:tblPr>
        <w:tblStyle w:val="17"/>
        <w:tblW w:w="507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1129"/>
        <w:gridCol w:w="1620"/>
        <w:gridCol w:w="1094"/>
        <w:gridCol w:w="39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1"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测试项目</w:t>
            </w:r>
          </w:p>
        </w:tc>
        <w:tc>
          <w:tcPr>
            <w:tcW w:w="623"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容器材质</w:t>
            </w:r>
          </w:p>
        </w:tc>
        <w:tc>
          <w:tcPr>
            <w:tcW w:w="894"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保存方法</w:t>
            </w:r>
          </w:p>
        </w:tc>
        <w:tc>
          <w:tcPr>
            <w:tcW w:w="604"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温度（℃）</w:t>
            </w:r>
          </w:p>
        </w:tc>
        <w:tc>
          <w:tcPr>
            <w:tcW w:w="2206"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容器洗涤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1"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pH</w:t>
            </w:r>
          </w:p>
        </w:tc>
        <w:tc>
          <w:tcPr>
            <w:tcW w:w="623"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w:t>
            </w:r>
          </w:p>
        </w:tc>
        <w:tc>
          <w:tcPr>
            <w:tcW w:w="89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保温箱内存放</w:t>
            </w:r>
          </w:p>
        </w:tc>
        <w:tc>
          <w:tcPr>
            <w:tcW w:w="60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＜4</w:t>
            </w:r>
          </w:p>
        </w:tc>
        <w:tc>
          <w:tcPr>
            <w:tcW w:w="2206"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1"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汞</w:t>
            </w:r>
          </w:p>
        </w:tc>
        <w:tc>
          <w:tcPr>
            <w:tcW w:w="623"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w:t>
            </w:r>
          </w:p>
        </w:tc>
        <w:tc>
          <w:tcPr>
            <w:tcW w:w="89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保温箱内存放</w:t>
            </w:r>
          </w:p>
        </w:tc>
        <w:tc>
          <w:tcPr>
            <w:tcW w:w="60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＜4</w:t>
            </w:r>
          </w:p>
        </w:tc>
        <w:tc>
          <w:tcPr>
            <w:tcW w:w="2206"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洗涤剂洗1次，自来水洗2次，（1+3）硝酸荡洗3次，自来水洗3次，去离子水洗3次。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1"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砷</w:t>
            </w:r>
          </w:p>
        </w:tc>
        <w:tc>
          <w:tcPr>
            <w:tcW w:w="623"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聚乙烯、玻璃</w:t>
            </w:r>
          </w:p>
        </w:tc>
        <w:tc>
          <w:tcPr>
            <w:tcW w:w="89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保温箱内存放</w:t>
            </w:r>
          </w:p>
        </w:tc>
        <w:tc>
          <w:tcPr>
            <w:tcW w:w="60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＜4</w:t>
            </w:r>
          </w:p>
        </w:tc>
        <w:tc>
          <w:tcPr>
            <w:tcW w:w="2206"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1"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除汞、砷外的金属项目</w:t>
            </w:r>
          </w:p>
        </w:tc>
        <w:tc>
          <w:tcPr>
            <w:tcW w:w="623"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聚乙烯、玻璃</w:t>
            </w:r>
          </w:p>
        </w:tc>
        <w:tc>
          <w:tcPr>
            <w:tcW w:w="89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保温箱内存放</w:t>
            </w:r>
          </w:p>
        </w:tc>
        <w:tc>
          <w:tcPr>
            <w:tcW w:w="60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＜4</w:t>
            </w:r>
          </w:p>
        </w:tc>
        <w:tc>
          <w:tcPr>
            <w:tcW w:w="2206"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洗涤剂洗1次，自来水洗2次，（1+3）硝酸荡洗1次，自来水洗3次，蒸馏水洗3次。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1"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挥发性有机物、</w:t>
            </w:r>
          </w:p>
        </w:tc>
        <w:tc>
          <w:tcPr>
            <w:tcW w:w="623"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玻璃（棕色）</w:t>
            </w:r>
          </w:p>
        </w:tc>
        <w:tc>
          <w:tcPr>
            <w:tcW w:w="89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保温箱内存放</w:t>
            </w:r>
          </w:p>
        </w:tc>
        <w:tc>
          <w:tcPr>
            <w:tcW w:w="60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＜4，密封，装满</w:t>
            </w:r>
          </w:p>
        </w:tc>
        <w:tc>
          <w:tcPr>
            <w:tcW w:w="2206"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71"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半挥发性有机物</w:t>
            </w:r>
          </w:p>
        </w:tc>
        <w:tc>
          <w:tcPr>
            <w:tcW w:w="623"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玻璃（棕色）</w:t>
            </w:r>
          </w:p>
        </w:tc>
        <w:tc>
          <w:tcPr>
            <w:tcW w:w="89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保温箱内存放</w:t>
            </w:r>
          </w:p>
        </w:tc>
        <w:tc>
          <w:tcPr>
            <w:tcW w:w="60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＜4，装满、密封</w:t>
            </w:r>
          </w:p>
        </w:tc>
        <w:tc>
          <w:tcPr>
            <w:tcW w:w="2206"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7" w:hRule="atLeast"/>
          <w:jc w:val="center"/>
        </w:trPr>
        <w:tc>
          <w:tcPr>
            <w:tcW w:w="671"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氰化物</w:t>
            </w:r>
          </w:p>
        </w:tc>
        <w:tc>
          <w:tcPr>
            <w:tcW w:w="623"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聚乙烯、玻璃</w:t>
            </w:r>
          </w:p>
        </w:tc>
        <w:tc>
          <w:tcPr>
            <w:tcW w:w="89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保温箱内存放</w:t>
            </w:r>
          </w:p>
        </w:tc>
        <w:tc>
          <w:tcPr>
            <w:tcW w:w="604"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＜4</w:t>
            </w:r>
          </w:p>
        </w:tc>
        <w:tc>
          <w:tcPr>
            <w:tcW w:w="2206" w:type="pct"/>
            <w:tcBorders>
              <w:tl2br w:val="nil"/>
              <w:tr2bl w:val="nil"/>
            </w:tcBorders>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bl>
    <w:p>
      <w:pPr>
        <w:spacing w:before="120" w:after="120"/>
        <w:jc w:val="center"/>
        <w:rPr>
          <w:rFonts w:ascii="Times New Roman" w:hAnsi="Times New Roman" w:cs="Times New Roman" w:eastAsiaTheme="minorEastAsia"/>
          <w:b/>
          <w:sz w:val="24"/>
        </w:rPr>
      </w:pPr>
      <w:r>
        <w:rPr>
          <w:rFonts w:ascii="Times New Roman" w:hAnsi="Times New Roman" w:cs="Times New Roman" w:eastAsiaTheme="minorEastAsia"/>
          <w:b/>
          <w:sz w:val="24"/>
        </w:rPr>
        <w:t>表</w:t>
      </w:r>
      <w:r>
        <w:rPr>
          <w:rFonts w:hint="eastAsia" w:ascii="Times New Roman" w:hAnsi="Times New Roman" w:cs="Times New Roman"/>
          <w:b/>
          <w:sz w:val="24"/>
          <w:lang w:val="en-US" w:eastAsia="zh-CN"/>
        </w:rPr>
        <w:t>9</w:t>
      </w:r>
      <w:r>
        <w:rPr>
          <w:rFonts w:ascii="Times New Roman" w:hAnsi="Times New Roman" w:cs="Times New Roman" w:eastAsiaTheme="minorEastAsia"/>
          <w:b/>
          <w:sz w:val="24"/>
        </w:rPr>
        <w:t>.</w:t>
      </w:r>
      <w:r>
        <w:rPr>
          <w:rFonts w:hint="eastAsia" w:ascii="Times New Roman" w:hAnsi="Times New Roman" w:cs="Times New Roman"/>
          <w:b/>
          <w:sz w:val="24"/>
          <w:lang w:val="en-US" w:eastAsia="zh-CN"/>
        </w:rPr>
        <w:t>3</w:t>
      </w:r>
      <w:r>
        <w:rPr>
          <w:rFonts w:ascii="Times New Roman" w:hAnsi="Times New Roman" w:cs="Times New Roman" w:eastAsiaTheme="minorEastAsia"/>
          <w:b/>
          <w:sz w:val="24"/>
        </w:rPr>
        <w:t>.4-</w:t>
      </w:r>
      <w:r>
        <w:rPr>
          <w:rFonts w:hint="eastAsia" w:ascii="Times New Roman" w:hAnsi="Times New Roman" w:cs="Times New Roman"/>
          <w:b/>
          <w:sz w:val="24"/>
          <w:lang w:val="en-US" w:eastAsia="zh-CN"/>
        </w:rPr>
        <w:t>2</w:t>
      </w:r>
      <w:r>
        <w:rPr>
          <w:rFonts w:ascii="Times New Roman" w:hAnsi="Times New Roman" w:cs="Times New Roman" w:eastAsiaTheme="minorEastAsia"/>
          <w:b/>
          <w:sz w:val="24"/>
        </w:rPr>
        <w:t xml:space="preserve"> 地下水样品保存方式</w:t>
      </w:r>
    </w:p>
    <w:tbl>
      <w:tblPr>
        <w:tblStyle w:val="1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0"/>
        <w:gridCol w:w="1321"/>
        <w:gridCol w:w="2232"/>
        <w:gridCol w:w="1029"/>
        <w:gridCol w:w="32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tblHeader/>
        </w:trPr>
        <w:tc>
          <w:tcPr>
            <w:tcW w:w="639"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检测项目</w:t>
            </w:r>
          </w:p>
        </w:tc>
        <w:tc>
          <w:tcPr>
            <w:tcW w:w="740"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采样容器</w:t>
            </w:r>
          </w:p>
        </w:tc>
        <w:tc>
          <w:tcPr>
            <w:tcW w:w="1250"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保存方法</w:t>
            </w:r>
          </w:p>
        </w:tc>
        <w:tc>
          <w:tcPr>
            <w:tcW w:w="576"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采样量</w:t>
            </w:r>
          </w:p>
        </w:tc>
        <w:tc>
          <w:tcPr>
            <w:tcW w:w="1793" w:type="pct"/>
            <w:tcBorders>
              <w:tl2br w:val="nil"/>
              <w:tr2bl w:val="nil"/>
            </w:tcBorders>
            <w:shd w:val="clear" w:color="auto" w:fill="BFBFBF"/>
            <w:vAlign w:val="center"/>
          </w:tcPr>
          <w:p>
            <w:pPr>
              <w:adjustRightInd w:val="0"/>
              <w:snapToGrid w:val="0"/>
              <w:jc w:val="center"/>
              <w:rPr>
                <w:rFonts w:ascii="Times New Roman" w:hAnsi="Times New Roman" w:cs="Times New Roman" w:eastAsiaTheme="minorEastAsia"/>
                <w:b/>
                <w:bCs/>
              </w:rPr>
            </w:pPr>
            <w:r>
              <w:rPr>
                <w:rFonts w:ascii="Times New Roman" w:hAnsi="Times New Roman" w:cs="Times New Roman" w:eastAsiaTheme="minorEastAsia"/>
                <w:b/>
                <w:bCs/>
              </w:rPr>
              <w:t>容器洗涤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pH值</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现场测定</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7" w:hRule="atLeast"/>
        </w:trPr>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Pb、Ni、Cd</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加浓硝酸酸化至pH小于2</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洗涤剂洗1次，自来水洗2次，（1+3）硝酸荡洗1次，自来水洗3次，蒸馏水洗3次。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Cu</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加浓硝酸酸化至pH小于2</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洗涤剂洗1次，自来水洗2次，（1+3）硝酸荡洗1次，自来水洗3次，蒸馏水洗3次。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Cr（六价）</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加NaOH使pH=8-9</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洗涤剂洗1次，自来水洗2次，（1+3）硝酸荡洗1次，自来水洗3次，蒸馏水洗3次。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As</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加浓硝酸酸或浓盐酸使pH小于2</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Hg</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加盐酸酸化至pH小于2</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洗涤剂洗1次，自来水洗2次，（1+3）硝酸荡洗3次，自来水洗3次，去离子水洗3次。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szCs w:val="21"/>
              </w:rPr>
              <w:t>氨氮</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加硫酸酸化至pH小于2</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洗涤剂洗1次，自来水洗2次，（1+3）硝酸荡洗1次，自来水洗3次，蒸馏水洗3次。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rPr>
              <w:t>高锰酸盐指数</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1-5℃暗处</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rPr>
              <w:t>阴离子表面活性剂</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加硫酸酸化至pH小于2</w:t>
            </w:r>
            <w:r>
              <w:rPr>
                <w:rFonts w:hint="eastAsia" w:ascii="Times New Roman" w:hAnsi="Times New Roman" w:cs="Times New Roman" w:eastAsiaTheme="minorEastAsia"/>
              </w:rPr>
              <w:t>，1-5℃冷藏</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500</w:t>
            </w:r>
            <w:r>
              <w:rPr>
                <w:rFonts w:ascii="Times New Roman" w:hAnsi="Times New Roman" w:cs="Times New Roman" w:eastAsiaTheme="minorEastAsia"/>
              </w:rPr>
              <w:t xml:space="preserve"> 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r>
              <w:rPr>
                <w:rFonts w:hint="eastAsia" w:ascii="Times New Roman" w:hAnsi="Times New Roman" w:cs="Times New Roman" w:eastAsiaTheme="minorEastAsia"/>
              </w:rPr>
              <w:t>，</w:t>
            </w:r>
            <w:r>
              <w:rPr>
                <w:rFonts w:ascii="Times New Roman" w:hAnsi="Times New Roman" w:cs="Times New Roman" w:eastAsiaTheme="minorEastAsia"/>
              </w:rPr>
              <w:t>甲醇清洗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t>硫化物</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加NaOH使pH≥9</w:t>
            </w:r>
            <w:r>
              <w:rPr>
                <w:rFonts w:hint="eastAsia" w:ascii="Times New Roman" w:hAnsi="Times New Roman" w:cs="Times New Roman" w:eastAsiaTheme="minorEastAsia"/>
              </w:rPr>
              <w:t>，1L加5ml抗坏血酸和3mlEDTA，滴加饱和Zn（AC）2至胶体产生</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洗涤剂洗1次，自来水洗2次，（1+3）硝酸荡洗1次，自来水洗3次，蒸馏水洗3次。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rPr>
              <w:t>挥发酚</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1-5℃避光，加磷酸调至PH≤2，加0.01g抗坏血酸</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1L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洗涤剂洗1次，自来水洗2次，（1+3）硝酸荡洗1次，自来水洗3次，蒸馏水洗3次。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t>氰化物</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加NaOH使pH≥9</w:t>
            </w:r>
            <w:r>
              <w:rPr>
                <w:rFonts w:hint="eastAsia" w:ascii="Times New Roman" w:hAnsi="Times New Roman" w:cs="Times New Roman" w:eastAsiaTheme="minorEastAsia"/>
              </w:rPr>
              <w:t>，1-5℃冷藏</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rPr>
              <w:t>亚硝酸盐</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1-5℃暗处</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rPr>
              <w:t>硫酸盐、氯化物、硝酸盐、磷酸盐</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1-5℃暗处</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钠</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HNO3,1L水样中加浓HNO3  10ml</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250mL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洗涤剂洗一次，自来水洗二次，(1+3) HNO3荡洗一次，自来水洗三次，蒸馏水洗一次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铝</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塑料容器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用 HNO3，pH 1-2</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10</w:t>
            </w:r>
            <w:r>
              <w:rPr>
                <w:rFonts w:ascii="Times New Roman" w:hAnsi="Times New Roman" w:cs="Times New Roman" w:eastAsiaTheme="minorEastAsia"/>
              </w:rPr>
              <w:t>0mL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hint="eastAsia" w:ascii="Times New Roman" w:hAnsi="Times New Roman" w:cs="Times New Roman" w:eastAsiaTheme="minorEastAsia"/>
              </w:rPr>
              <w:t>洗涤剂洗一次，自来水洗二次，(1+3) HNO3荡洗一次，自来水洗三次，去离子水洗一次。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挥发性</w:t>
            </w:r>
          </w:p>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有机物</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用（1+10）HCl使pH=2，加抗坏血酸0.01 -0.02g除去余氯，低温避光保存</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1L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9"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半挥发性有机物</w:t>
            </w:r>
          </w:p>
        </w:tc>
        <w:tc>
          <w:tcPr>
            <w:tcW w:w="74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玻璃容器</w:t>
            </w:r>
          </w:p>
        </w:tc>
        <w:tc>
          <w:tcPr>
            <w:tcW w:w="1250"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用（1+10）HCl使pH=2，加抗坏血0.01 - 0.02g除去余氯，低温避光保存</w:t>
            </w:r>
          </w:p>
        </w:tc>
        <w:tc>
          <w:tcPr>
            <w:tcW w:w="576"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1L</w:t>
            </w:r>
          </w:p>
        </w:tc>
        <w:tc>
          <w:tcPr>
            <w:tcW w:w="1793" w:type="pct"/>
            <w:tcBorders>
              <w:tl2br w:val="nil"/>
              <w:tr2bl w:val="nil"/>
            </w:tcBorders>
            <w:shd w:val="clear" w:color="auto" w:fill="auto"/>
            <w:vAlign w:val="center"/>
          </w:tcPr>
          <w:p>
            <w:pPr>
              <w:adjustRightInd w:val="0"/>
              <w:snapToGrid w:val="0"/>
              <w:jc w:val="center"/>
              <w:rPr>
                <w:rFonts w:ascii="Times New Roman" w:hAnsi="Times New Roman" w:cs="Times New Roman" w:eastAsiaTheme="minorEastAsia"/>
              </w:rPr>
            </w:pPr>
            <w:r>
              <w:rPr>
                <w:rFonts w:ascii="Times New Roman" w:hAnsi="Times New Roman" w:cs="Times New Roman" w:eastAsiaTheme="minorEastAsia"/>
              </w:rPr>
              <w:t>洗涤剂1次，自来水3次，蒸馏水3次</w:t>
            </w:r>
          </w:p>
        </w:tc>
      </w:tr>
    </w:tbl>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w:t>
      </w:r>
      <w:r>
        <w:rPr>
          <w:rFonts w:hint="eastAsia" w:ascii="Times New Roman" w:hAnsi="Times New Roman" w:cs="Times New Roman"/>
          <w:color w:val="000000"/>
          <w:sz w:val="24"/>
          <w:szCs w:val="20"/>
          <w:lang w:val="en-US" w:eastAsia="zh-CN"/>
        </w:rPr>
        <w:t>2</w:t>
      </w:r>
      <w:r>
        <w:rPr>
          <w:rFonts w:hint="eastAsia" w:ascii="Times New Roman" w:hAnsi="Times New Roman" w:cs="Times New Roman" w:eastAsiaTheme="minorEastAsia"/>
          <w:color w:val="000000"/>
          <w:sz w:val="24"/>
          <w:szCs w:val="20"/>
          <w:lang w:val="en-US" w:eastAsia="zh-CN"/>
        </w:rPr>
        <w:t>）样品的流转</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 xml:space="preserve">1）装运前核对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 xml:space="preserve">样品管理员和质量检查员负责样品装运前的核对，要求样品与采样记录单进行逐个核对，检查无误后分类装箱，如果核对结果发现异常，应及时查明原因，由样品管理员向组长进行报告并记录。样品装运前，填写“样品交接清单”，包括样品名称、采样时间、样品介质、检测指标、检测方法和样品寄送人等信息，样品运送单用防水袋保护，随样品箱一同送达样品检测单位。样品装箱过程中，要用泡沫材料填充样品瓶和样品箱之间空隙。样品箱用密封胶带打包。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color w:val="000000"/>
          <w:sz w:val="24"/>
          <w:szCs w:val="20"/>
          <w:lang w:val="en-US" w:eastAsia="zh-CN"/>
        </w:rPr>
        <w:t>3</w:t>
      </w:r>
      <w:r>
        <w:rPr>
          <w:rFonts w:hint="eastAsia" w:ascii="Times New Roman" w:hAnsi="Times New Roman" w:cs="Times New Roman" w:eastAsiaTheme="minorEastAsia"/>
          <w:color w:val="000000"/>
          <w:sz w:val="24"/>
          <w:szCs w:val="20"/>
          <w:lang w:val="en-US" w:eastAsia="zh-CN"/>
        </w:rPr>
        <w:t xml:space="preserve">）样品运输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 xml:space="preserve">样品流转运输应保证样品完好并低温保存，采用适当的减震隔离措施，严防样品瓶的破损、混淆或沾污，在保存时限内运送至样品检测单位。样品运输应设置运输空白样进行运输过程的质量控制，一个样品运送批次设置一个运输空白样品。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color w:val="000000"/>
          <w:sz w:val="24"/>
          <w:szCs w:val="20"/>
          <w:lang w:val="en-US" w:eastAsia="zh-CN"/>
        </w:rPr>
        <w:t>4</w:t>
      </w:r>
      <w:r>
        <w:rPr>
          <w:rFonts w:hint="eastAsia" w:ascii="Times New Roman" w:hAnsi="Times New Roman" w:cs="Times New Roman" w:eastAsiaTheme="minorEastAsia"/>
          <w:color w:val="000000"/>
          <w:sz w:val="24"/>
          <w:szCs w:val="20"/>
          <w:lang w:val="en-US" w:eastAsia="zh-CN"/>
        </w:rPr>
        <w:t xml:space="preserve">）样品接收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 xml:space="preserve">样品检测单位收到样品箱后，应立即检查样品箱是否有破损，按照样品交接单清点核实样品数量、样品瓶编号以及破损情况。若出现样品瓶缺少、破损或样品瓶标签无法辨识等重大问题，样品检测单位的实验室负责人应在“样品交接清单”中进行标注，并及时与采样工作组组长沟通。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 xml:space="preserve">上述工作完成后，样品检测单位的实验室负责人在纸版样品交接清单上签字确认并拍照发给采样单位。样品检测单位收到样品后，按照样品运送单要求，立即安排样品保存和检测。 </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lang w:val="en-US" w:eastAsia="zh-CN"/>
        </w:rPr>
      </w:pPr>
      <w:bookmarkStart w:id="84" w:name="_Toc5656"/>
      <w:bookmarkStart w:id="85" w:name="_Toc9186"/>
      <w:bookmarkStart w:id="86" w:name="_Toc32219"/>
      <w:bookmarkStart w:id="87" w:name="_Toc23186"/>
      <w:r>
        <w:rPr>
          <w:rFonts w:hint="eastAsia"/>
          <w:lang w:val="en-US" w:eastAsia="zh-CN"/>
        </w:rPr>
        <w:t>9.3.5样品分析测试的质量保证与控制</w:t>
      </w:r>
      <w:bookmarkEnd w:id="84"/>
      <w:bookmarkEnd w:id="85"/>
      <w:bookmarkEnd w:id="86"/>
      <w:bookmarkEnd w:id="87"/>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b w:val="0"/>
          <w:bCs w:val="0"/>
          <w:color w:val="000000"/>
          <w:sz w:val="24"/>
          <w:szCs w:val="20"/>
          <w:lang w:val="en-US" w:eastAsia="zh-CN"/>
        </w:rPr>
      </w:pPr>
      <w:r>
        <w:rPr>
          <w:rFonts w:hint="eastAsia" w:ascii="Times New Roman" w:hAnsi="Times New Roman" w:cs="Times New Roman" w:eastAsiaTheme="minorEastAsia"/>
          <w:b w:val="0"/>
          <w:bCs w:val="0"/>
          <w:color w:val="000000"/>
          <w:sz w:val="24"/>
          <w:szCs w:val="20"/>
          <w:lang w:val="en-US" w:eastAsia="zh-CN"/>
        </w:rPr>
        <w:t>（1）分析方法的确认</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检测实验室在开展企业用地调查样品分析测试时，其使用的分析方法应为《全国土壤污染状况详查土壤样品分析测试方法技术规定》和《全国土壤污染状况详查地下水样品分析测试方法技术规定》中推荐的分析方法或其资质认定范围内的国家标准、区域标准、行业标准及国际标准方法。检测实验室应确保目标污染物的方法检出限满足对应的建设用地土壤污染风险筛选值的要求。</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b w:val="0"/>
          <w:bCs w:val="0"/>
          <w:color w:val="000000"/>
          <w:sz w:val="24"/>
          <w:szCs w:val="20"/>
          <w:lang w:val="en-US" w:eastAsia="zh-CN"/>
        </w:rPr>
      </w:pPr>
      <w:r>
        <w:rPr>
          <w:rFonts w:hint="eastAsia" w:ascii="Times New Roman" w:hAnsi="Times New Roman" w:cs="Times New Roman" w:eastAsiaTheme="minorEastAsia"/>
          <w:b w:val="0"/>
          <w:bCs w:val="0"/>
          <w:color w:val="000000"/>
          <w:sz w:val="24"/>
          <w:szCs w:val="20"/>
          <w:lang w:val="en-US" w:eastAsia="zh-CN"/>
        </w:rPr>
        <w:t>（2）实验室内部质量控制</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1）空白实验</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每批次样品分析时，应进行空白试验。分析测试方法有规定的，按分析测试方法的规定进行；分析测试方法无规定时，要求每批样品或每20个样品应至少做1次空白试验。</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空白样品分析测试结果一般应低于方法检出限。若空白样品分析测试结果低于方法检出限，可忽略不计；若空白样品分析测试结果明显超过正常值，实验室应查找原因并采取适当的纠正和预防措施，并重新对样品进行分析测试。</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2）定量标准</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①标准物质</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分析仪器校准应首先选用有证标准物质。当没有有证标准物质时，也可用纯度较高（一般不低于98%）、性质稳定的化学试剂直接配制仪器校准用标准溶液。</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②校准曲线</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采用校准曲线法进行定量分析时，一般应至少使用5个浓度梯度的标准溶液（除空白外），覆盖被测样品的浓度范围，且最低点浓度应接近方法测定下限的水平。分析测试方法有规定时，按分析测试方法的规定进行；分析测试方法无规定时，校准曲线相关系数要求为r＞0.999。</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③仪器稳定性检查</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连续进样分析时，每分析测试20个样品，应测定一次校准曲线中间浓度点，确认分析仪器校准曲线是否发生显著变化。分析测试方法有规定的，按分析测试方法的规定进行；分析测试方法无规定时，无机检测项目分析测试相对偏差应控制在10%以内，有机检测项目分析测试相对偏差应控制在20%以内，超过此范围时需要查明原因，重新绘制校准曲线，并重新分析测试该批次全部样品。</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3）精密度控制</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每批次样品分析时，每个检测项目（除挥发性有机物外）均须做平行双样分析。在每批次分析样品中，应随机抽取5%的样品进行平行双样分析；当批次样品数＜20时，应至少随机抽取1个样品进行平行双样分析。</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4）准确度控制</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当具备与被测土壤或地下水样品基体相同或类似的有证标准物质时，应在每批次样品分析时同步均匀插入与被测样品含量水平相当的有证标准物质样品进行分析测试。每批次同类型分析样品要求按样品数5%的比例插入标准物质样品；当批次分析样品数＜20 时，应至少插入1个标准物质样品。</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对有证标准物质样品分析测试合格率要求应达到100%。当出现不合格结果时，应查明其原因，采取适当的纠正和预防措施，并对该标准物质样品及与之关联的详查送检样品重新进行分析测试。</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5）加标回收率试验</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①当没有合适的土壤或地下水基体有证标准物质时，应采用基体加标回收率试验对准确度进行控制。每批次同类型分析样品中，应随机抽取5％的样品进行加标回收率试验；当批次分析样品数＜20时， 应至少随机抽取1个样品进行加标回收率试验。此外，在进行有机污染物样品分析时，最好能进行替代物加标回收率试验。</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②基体加标和替代物加标回收率试验应在样品前处理之前加标， 加标样品与试样应在相同的前处理和分析条件下进行分析测试。加标量可视被测组分含量而定，含量高的可加入被测组分含量的0.5～1.0 倍，含量低的可加2～3倍，但加标后被测组分的总量不得超出分析测试方法的测定上限。</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③若基体加标回收率在规定的允许范围内，则该加标回收率试验样品的准确度控制为合格，否则为不合格。土壤和地下水样品中主要检测项目基体加标回收率允许范围见表9.5.2-1和表9.5.2-2，土壤和地下水样品中其他检测项目基体加标回收率允许范围见表9.5.2-3和表9.5.2-4。</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④对基体加标回收率试验结果合格率的要求应达到 100%。当出现不合格结果时，应查明其原因，采取适当的纠正和预防措施，并对该批次样品重新进行分析测试。</w:t>
      </w:r>
    </w:p>
    <w:p>
      <w:pPr>
        <w:pStyle w:val="11"/>
        <w:rPr>
          <w:rFonts w:hint="eastAsia" w:ascii="Times New Roman" w:hAnsi="Times New Roman" w:cs="Times New Roman" w:eastAsiaTheme="minorEastAsia"/>
          <w:color w:val="000000"/>
          <w:sz w:val="24"/>
          <w:szCs w:val="20"/>
          <w:lang w:val="en-US" w:eastAsia="zh-CN"/>
        </w:rPr>
      </w:pPr>
    </w:p>
    <w:p>
      <w:pPr>
        <w:pStyle w:val="11"/>
        <w:jc w:val="center"/>
        <w:rPr>
          <w:rFonts w:hint="eastAsia" w:ascii="Times New Roman" w:hAnsi="Times New Roman" w:cs="Times New Roman" w:eastAsiaTheme="minorEastAsia"/>
          <w:b/>
          <w:bCs/>
          <w:color w:val="000000"/>
          <w:sz w:val="24"/>
          <w:szCs w:val="20"/>
          <w:lang w:val="en-US" w:eastAsia="zh-CN"/>
        </w:rPr>
      </w:pPr>
      <w:r>
        <w:rPr>
          <w:rFonts w:hint="eastAsia" w:ascii="Times New Roman" w:hAnsi="Times New Roman" w:cs="Times New Roman" w:eastAsiaTheme="minorEastAsia"/>
          <w:b/>
          <w:bCs/>
          <w:color w:val="000000"/>
          <w:sz w:val="24"/>
          <w:szCs w:val="20"/>
          <w:lang w:val="en-US" w:eastAsia="zh-CN"/>
        </w:rPr>
        <w:t>表</w:t>
      </w:r>
      <w:r>
        <w:rPr>
          <w:rFonts w:hint="eastAsia" w:ascii="Times New Roman" w:hAnsi="Times New Roman" w:cs="Times New Roman"/>
          <w:b/>
          <w:bCs/>
          <w:color w:val="000000"/>
          <w:sz w:val="24"/>
          <w:szCs w:val="20"/>
          <w:lang w:val="en-US" w:eastAsia="zh-CN"/>
        </w:rPr>
        <w:t>9.3.5-1</w:t>
      </w:r>
      <w:r>
        <w:rPr>
          <w:rFonts w:hint="eastAsia" w:ascii="Times New Roman" w:hAnsi="Times New Roman" w:cs="Times New Roman" w:eastAsiaTheme="minorEastAsia"/>
          <w:b/>
          <w:bCs/>
          <w:color w:val="000000"/>
          <w:sz w:val="24"/>
          <w:szCs w:val="20"/>
          <w:lang w:val="en-US" w:eastAsia="zh-CN"/>
        </w:rPr>
        <w:t xml:space="preserve"> 土壤样品中主要检测项目分析测试精密度和准确度允许范围</w:t>
      </w:r>
    </w:p>
    <w:p>
      <w:pPr>
        <w:pStyle w:val="11"/>
        <w:jc w:val="both"/>
        <w:rPr>
          <w:rFonts w:hint="eastAsia" w:ascii="Times New Roman" w:hAnsi="Times New Roman" w:cs="Times New Roman" w:eastAsiaTheme="minorEastAsia"/>
          <w:b/>
          <w:bCs/>
          <w:color w:val="000000"/>
          <w:sz w:val="24"/>
          <w:szCs w:val="20"/>
          <w:lang w:val="en-US" w:eastAsia="zh-CN"/>
        </w:rPr>
      </w:pPr>
    </w:p>
    <w:tbl>
      <w:tblPr>
        <w:tblStyle w:val="17"/>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261"/>
        <w:gridCol w:w="1401"/>
        <w:gridCol w:w="1592"/>
        <w:gridCol w:w="1620"/>
        <w:gridCol w:w="1496"/>
        <w:gridCol w:w="133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检测项目</w:t>
            </w:r>
          </w:p>
        </w:tc>
        <w:tc>
          <w:tcPr>
            <w:tcW w:w="80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含量范围</w:t>
            </w:r>
          </w:p>
          <w:p>
            <w:pPr>
              <w:spacing w:before="48" w:beforeLines="20"/>
              <w:jc w:val="center"/>
              <w:rPr>
                <w:rFonts w:hint="eastAsia"/>
                <w:szCs w:val="21"/>
                <w:lang w:val="en-US" w:eastAsia="zh-CN"/>
              </w:rPr>
            </w:pPr>
            <w:r>
              <w:rPr>
                <w:rFonts w:hint="eastAsia"/>
                <w:szCs w:val="21"/>
                <w:lang w:val="en-US" w:eastAsia="zh-CN"/>
              </w:rPr>
              <w:t>（mg/kg）</w:t>
            </w:r>
          </w:p>
        </w:tc>
        <w:tc>
          <w:tcPr>
            <w:tcW w:w="1844" w:type="pct"/>
            <w:gridSpan w:val="2"/>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精密度</w:t>
            </w:r>
          </w:p>
        </w:tc>
        <w:tc>
          <w:tcPr>
            <w:tcW w:w="1626" w:type="pct"/>
            <w:gridSpan w:val="2"/>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准确度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2"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vMerge w:val="continue"/>
            <w:tcBorders>
              <w:tl2br w:val="nil"/>
              <w:tr2bl w:val="nil"/>
            </w:tcBorders>
            <w:vAlign w:val="center"/>
          </w:tcPr>
          <w:p>
            <w:pPr>
              <w:spacing w:before="48" w:beforeLines="20"/>
              <w:jc w:val="center"/>
              <w:rPr>
                <w:rFonts w:hint="eastAsia"/>
                <w:szCs w:val="21"/>
                <w:lang w:val="en-US" w:eastAsia="zh-CN"/>
              </w:rPr>
            </w:pP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室内相对偏差</w:t>
            </w:r>
          </w:p>
          <w:p>
            <w:pPr>
              <w:spacing w:before="48" w:beforeLines="20"/>
              <w:jc w:val="center"/>
              <w:rPr>
                <w:rFonts w:hint="eastAsia"/>
                <w:szCs w:val="21"/>
                <w:lang w:val="en-US" w:eastAsia="zh-CN"/>
              </w:rPr>
            </w:pPr>
            <w:r>
              <w:rPr>
                <w:rFonts w:hint="eastAsia"/>
                <w:szCs w:val="21"/>
                <w:lang w:val="en-US" w:eastAsia="zh-CN"/>
              </w:rPr>
              <w:t>（%）</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室间相对偏差（%）</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加标回收率（%）</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相对误差（%）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0"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总镉</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＜0.1</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40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75～110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0.1～0.4</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＞0.4</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总汞</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＜0.1</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40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75～110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0.1～0.4</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＞0.4</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总砷</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10～20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总铜</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20～30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11"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总铅</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80～110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0"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20～40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＞40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0"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总铬</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50～90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0"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总锌</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0"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50～90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5" w:hRule="atLeast"/>
          <w:jc w:val="center"/>
        </w:trPr>
        <w:tc>
          <w:tcPr>
            <w:tcW w:w="72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总镍</w:t>
            </w: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80～110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2"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20～40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85～110</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5" w:hRule="atLeast"/>
          <w:jc w:val="center"/>
        </w:trPr>
        <w:tc>
          <w:tcPr>
            <w:tcW w:w="724" w:type="pct"/>
            <w:vMerge w:val="continue"/>
            <w:tcBorders>
              <w:tl2br w:val="nil"/>
              <w:tr2bl w:val="nil"/>
            </w:tcBorders>
            <w:vAlign w:val="center"/>
          </w:tcPr>
          <w:p>
            <w:pPr>
              <w:spacing w:before="48" w:beforeLines="20"/>
              <w:jc w:val="center"/>
              <w:rPr>
                <w:rFonts w:hint="eastAsia"/>
                <w:szCs w:val="21"/>
                <w:lang w:val="en-US" w:eastAsia="zh-CN"/>
              </w:rPr>
            </w:pPr>
          </w:p>
        </w:tc>
        <w:tc>
          <w:tcPr>
            <w:tcW w:w="80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＞40</w:t>
            </w:r>
          </w:p>
        </w:tc>
        <w:tc>
          <w:tcPr>
            <w:tcW w:w="91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3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5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6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bl>
    <w:p>
      <w:pPr>
        <w:pStyle w:val="11"/>
        <w:jc w:val="both"/>
        <w:rPr>
          <w:rFonts w:hint="eastAsia" w:ascii="Times New Roman" w:hAnsi="Times New Roman" w:cs="Times New Roman" w:eastAsiaTheme="minorEastAsia"/>
          <w:color w:val="000000"/>
          <w:sz w:val="24"/>
          <w:szCs w:val="20"/>
          <w:lang w:val="en-US" w:eastAsia="zh-CN"/>
        </w:rPr>
      </w:pPr>
    </w:p>
    <w:p>
      <w:pPr>
        <w:pStyle w:val="11"/>
        <w:jc w:val="center"/>
        <w:rPr>
          <w:rFonts w:hint="eastAsia" w:ascii="Times New Roman" w:hAnsi="Times New Roman" w:cs="Times New Roman" w:eastAsiaTheme="minorEastAsia"/>
          <w:b/>
          <w:bCs/>
          <w:color w:val="000000"/>
          <w:sz w:val="24"/>
          <w:szCs w:val="20"/>
          <w:lang w:val="en-US" w:eastAsia="zh-CN"/>
        </w:rPr>
      </w:pPr>
      <w:r>
        <w:rPr>
          <w:rFonts w:hint="eastAsia" w:ascii="Times New Roman" w:hAnsi="Times New Roman" w:cs="Times New Roman" w:eastAsiaTheme="minorEastAsia"/>
          <w:b/>
          <w:bCs/>
          <w:color w:val="000000"/>
          <w:sz w:val="24"/>
          <w:szCs w:val="20"/>
          <w:lang w:val="en-US" w:eastAsia="zh-CN"/>
        </w:rPr>
        <w:t>表</w:t>
      </w:r>
      <w:r>
        <w:rPr>
          <w:rFonts w:hint="eastAsia" w:ascii="Times New Roman" w:hAnsi="Times New Roman" w:cs="Times New Roman"/>
          <w:color w:val="000000"/>
          <w:sz w:val="24"/>
          <w:szCs w:val="20"/>
          <w:lang w:val="en-US" w:eastAsia="zh-CN"/>
        </w:rPr>
        <w:t>9.3.5-2</w:t>
      </w:r>
      <w:r>
        <w:rPr>
          <w:rFonts w:hint="eastAsia" w:ascii="Times New Roman" w:hAnsi="Times New Roman" w:cs="Times New Roman" w:eastAsiaTheme="minorEastAsia"/>
          <w:b/>
          <w:bCs/>
          <w:color w:val="000000"/>
          <w:sz w:val="24"/>
          <w:szCs w:val="20"/>
          <w:lang w:val="en-US" w:eastAsia="zh-CN"/>
        </w:rPr>
        <w:t xml:space="preserve"> 地下水样品中主要检测项目分析测试精密度和准确度允许范围</w:t>
      </w:r>
    </w:p>
    <w:p>
      <w:pPr>
        <w:pStyle w:val="11"/>
        <w:jc w:val="both"/>
        <w:rPr>
          <w:rFonts w:hint="eastAsia" w:ascii="Times New Roman" w:hAnsi="Times New Roman" w:cs="Times New Roman" w:eastAsiaTheme="minorEastAsia"/>
          <w:b/>
          <w:bCs/>
          <w:color w:val="000000"/>
          <w:sz w:val="24"/>
          <w:szCs w:val="20"/>
          <w:lang w:val="en-US" w:eastAsia="zh-CN"/>
        </w:rPr>
      </w:pPr>
    </w:p>
    <w:tbl>
      <w:tblPr>
        <w:tblStyle w:val="17"/>
        <w:tblW w:w="500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06"/>
        <w:gridCol w:w="1330"/>
        <w:gridCol w:w="1606"/>
        <w:gridCol w:w="1608"/>
        <w:gridCol w:w="1505"/>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1"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检测项目</w:t>
            </w:r>
          </w:p>
        </w:tc>
        <w:tc>
          <w:tcPr>
            <w:tcW w:w="762"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含量范围</w:t>
            </w:r>
          </w:p>
          <w:p>
            <w:pPr>
              <w:spacing w:before="48" w:beforeLines="20"/>
              <w:jc w:val="center"/>
              <w:rPr>
                <w:rFonts w:hint="eastAsia"/>
                <w:szCs w:val="21"/>
                <w:lang w:val="en-US" w:eastAsia="zh-CN"/>
              </w:rPr>
            </w:pPr>
            <w:r>
              <w:rPr>
                <w:rFonts w:hint="eastAsia"/>
                <w:szCs w:val="21"/>
                <w:lang w:val="en-US" w:eastAsia="zh-CN"/>
              </w:rPr>
              <w:t>（mg/L）</w:t>
            </w:r>
          </w:p>
        </w:tc>
        <w:tc>
          <w:tcPr>
            <w:tcW w:w="1841" w:type="pct"/>
            <w:gridSpan w:val="2"/>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精密度</w:t>
            </w:r>
          </w:p>
        </w:tc>
        <w:tc>
          <w:tcPr>
            <w:tcW w:w="1647" w:type="pct"/>
            <w:gridSpan w:val="2"/>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准确度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3"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vMerge w:val="continue"/>
            <w:tcBorders>
              <w:tl2br w:val="nil"/>
              <w:tr2bl w:val="nil"/>
            </w:tcBorders>
            <w:vAlign w:val="center"/>
          </w:tcPr>
          <w:p>
            <w:pPr>
              <w:spacing w:before="48" w:beforeLines="20"/>
              <w:jc w:val="center"/>
              <w:rPr>
                <w:rFonts w:hint="eastAsia"/>
                <w:szCs w:val="21"/>
                <w:lang w:val="en-US" w:eastAsia="zh-CN"/>
              </w:rPr>
            </w:pP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室内相对偏差</w:t>
            </w:r>
          </w:p>
          <w:p>
            <w:pPr>
              <w:spacing w:before="48" w:beforeLines="20"/>
              <w:jc w:val="center"/>
              <w:rPr>
                <w:rFonts w:hint="eastAsia"/>
                <w:szCs w:val="21"/>
                <w:lang w:val="en-US" w:eastAsia="zh-CN"/>
              </w:rPr>
            </w:pPr>
            <w:r>
              <w:rPr>
                <w:rFonts w:hint="eastAsia"/>
                <w:szCs w:val="21"/>
                <w:lang w:val="en-US" w:eastAsia="zh-CN"/>
              </w:rPr>
              <w:t>（%）</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室间相对偏差</w:t>
            </w:r>
          </w:p>
          <w:p>
            <w:pPr>
              <w:spacing w:before="48" w:beforeLines="20"/>
              <w:jc w:val="center"/>
              <w:rPr>
                <w:rFonts w:hint="eastAsia"/>
                <w:szCs w:val="21"/>
                <w:lang w:val="en-US" w:eastAsia="zh-CN"/>
              </w:rPr>
            </w:pPr>
            <w:r>
              <w:rPr>
                <w:rFonts w:hint="eastAsia"/>
                <w:szCs w:val="21"/>
                <w:lang w:val="en-US" w:eastAsia="zh-CN"/>
              </w:rPr>
              <w:t>（%）</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加标回收率</w:t>
            </w:r>
          </w:p>
          <w:p>
            <w:pPr>
              <w:spacing w:before="48" w:beforeLines="20"/>
              <w:jc w:val="center"/>
              <w:rPr>
                <w:rFonts w:hint="eastAsia"/>
                <w:szCs w:val="21"/>
                <w:lang w:val="en-US" w:eastAsia="zh-CN"/>
              </w:rPr>
            </w:pPr>
            <w:r>
              <w:rPr>
                <w:rFonts w:hint="eastAsia"/>
                <w:szCs w:val="21"/>
                <w:lang w:val="en-US" w:eastAsia="zh-CN"/>
              </w:rPr>
              <w:t>（%</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相对误差</w:t>
            </w:r>
          </w:p>
          <w:p>
            <w:pPr>
              <w:spacing w:before="48" w:beforeLines="20"/>
              <w:jc w:val="center"/>
              <w:rPr>
                <w:rFonts w:hint="eastAsia"/>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总镉</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0.005～0.1</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＞0.1</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95～115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总汞</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＜0.001</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40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0.001～0.005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总砷</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总铜</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＜0.1 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95～105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总铅</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95～105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2"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六价铬</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＜0.01</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0.01～1.0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90～105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总锌</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85～120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95～105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3"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氟化物</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3"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95～105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trPr>
        <w:tc>
          <w:tcPr>
            <w:tcW w:w="748"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总氰化物</w:t>
            </w: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85～115</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0.05～0.5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20</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748" w:type="pct"/>
            <w:vMerge w:val="continue"/>
            <w:tcBorders>
              <w:tl2br w:val="nil"/>
              <w:tr2bl w:val="nil"/>
            </w:tcBorders>
            <w:vAlign w:val="center"/>
          </w:tcPr>
          <w:p>
            <w:pPr>
              <w:spacing w:before="48" w:beforeLines="20"/>
              <w:jc w:val="center"/>
              <w:rPr>
                <w:rFonts w:hint="eastAsia"/>
                <w:szCs w:val="21"/>
                <w:lang w:val="en-US" w:eastAsia="zh-CN"/>
              </w:rPr>
            </w:pPr>
          </w:p>
        </w:tc>
        <w:tc>
          <w:tcPr>
            <w:tcW w:w="7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＞0.5</w:t>
            </w:r>
          </w:p>
        </w:tc>
        <w:tc>
          <w:tcPr>
            <w:tcW w:w="920"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w:t>
            </w:r>
          </w:p>
        </w:tc>
        <w:tc>
          <w:tcPr>
            <w:tcW w:w="92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c>
          <w:tcPr>
            <w:tcW w:w="862"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90～110</w:t>
            </w:r>
          </w:p>
        </w:tc>
        <w:tc>
          <w:tcPr>
            <w:tcW w:w="78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±15</w:t>
            </w:r>
          </w:p>
        </w:tc>
      </w:tr>
    </w:tbl>
    <w:p>
      <w:pPr>
        <w:adjustRightInd w:val="0"/>
        <w:snapToGrid w:val="0"/>
        <w:spacing w:line="360" w:lineRule="auto"/>
        <w:rPr>
          <w:rFonts w:hint="eastAsia" w:ascii="Times New Roman" w:hAnsi="Times New Roman" w:cs="Times New Roman" w:eastAsiaTheme="minorEastAsia"/>
          <w:color w:val="000000"/>
          <w:sz w:val="24"/>
          <w:szCs w:val="20"/>
          <w:lang w:val="en-US" w:eastAsia="zh-CN"/>
        </w:rPr>
        <w:sectPr>
          <w:pgSz w:w="11910" w:h="16840"/>
          <w:pgMar w:top="1420" w:right="1540" w:bottom="1160" w:left="1660" w:header="897" w:footer="975" w:gutter="0"/>
          <w:pgBorders>
            <w:top w:val="none" w:sz="0" w:space="0"/>
            <w:left w:val="none" w:sz="0" w:space="0"/>
            <w:bottom w:val="none" w:sz="0" w:space="0"/>
            <w:right w:val="none" w:sz="0" w:space="0"/>
          </w:pgBorders>
          <w:pgNumType w:fmt="decimal"/>
          <w:cols w:space="720" w:num="1"/>
        </w:sectPr>
      </w:pPr>
    </w:p>
    <w:p>
      <w:pPr>
        <w:adjustRightInd w:val="0"/>
        <w:snapToGrid w:val="0"/>
        <w:spacing w:line="360" w:lineRule="auto"/>
        <w:jc w:val="center"/>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b/>
          <w:bCs/>
          <w:color w:val="000000"/>
          <w:sz w:val="24"/>
          <w:szCs w:val="24"/>
          <w:lang w:val="en-US" w:eastAsia="zh-CN"/>
        </w:rPr>
        <w:t>表</w:t>
      </w:r>
      <w:r>
        <w:rPr>
          <w:rFonts w:hint="eastAsia" w:ascii="Times New Roman" w:hAnsi="Times New Roman" w:cs="Times New Roman"/>
          <w:color w:val="000000"/>
          <w:sz w:val="24"/>
          <w:szCs w:val="20"/>
          <w:lang w:val="en-US" w:eastAsia="zh-CN"/>
        </w:rPr>
        <w:t>9.3.5-3</w:t>
      </w:r>
      <w:r>
        <w:rPr>
          <w:rFonts w:hint="eastAsia" w:ascii="Times New Roman" w:hAnsi="Times New Roman" w:cs="Times New Roman" w:eastAsiaTheme="minorEastAsia"/>
          <w:b/>
          <w:bCs/>
          <w:color w:val="000000"/>
          <w:sz w:val="24"/>
          <w:szCs w:val="24"/>
          <w:lang w:val="en-US" w:eastAsia="zh-CN"/>
        </w:rPr>
        <w:tab/>
      </w:r>
      <w:r>
        <w:rPr>
          <w:rFonts w:hint="eastAsia" w:ascii="Times New Roman" w:hAnsi="Times New Roman" w:cs="Times New Roman" w:eastAsiaTheme="minorEastAsia"/>
          <w:b/>
          <w:bCs/>
          <w:color w:val="000000"/>
          <w:sz w:val="24"/>
          <w:szCs w:val="24"/>
          <w:lang w:val="en-US" w:eastAsia="zh-CN"/>
        </w:rPr>
        <w:t>土壤样品中其他检测项目分析测试精密度与准确度允许范围</w:t>
      </w:r>
    </w:p>
    <w:tbl>
      <w:tblPr>
        <w:tblStyle w:val="17"/>
        <w:tblW w:w="4998"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autofit"/>
        <w:tblCellMar>
          <w:top w:w="0" w:type="dxa"/>
          <w:left w:w="0" w:type="dxa"/>
          <w:bottom w:w="0" w:type="dxa"/>
          <w:right w:w="0" w:type="dxa"/>
        </w:tblCellMar>
      </w:tblPr>
      <w:tblGrid>
        <w:gridCol w:w="1709"/>
        <w:gridCol w:w="1375"/>
        <w:gridCol w:w="1756"/>
        <w:gridCol w:w="2309"/>
        <w:gridCol w:w="1558"/>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81"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检测项目</w:t>
            </w:r>
          </w:p>
        </w:tc>
        <w:tc>
          <w:tcPr>
            <w:tcW w:w="789"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含量范围</w:t>
            </w:r>
          </w:p>
        </w:tc>
        <w:tc>
          <w:tcPr>
            <w:tcW w:w="1008"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精密度</w:t>
            </w:r>
          </w:p>
        </w:tc>
        <w:tc>
          <w:tcPr>
            <w:tcW w:w="13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准确度</w:t>
            </w:r>
          </w:p>
        </w:tc>
        <w:tc>
          <w:tcPr>
            <w:tcW w:w="894"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适用的分析方法</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81" w:type="pct"/>
            <w:vMerge w:val="continue"/>
            <w:tcBorders>
              <w:tl2br w:val="nil"/>
              <w:tr2bl w:val="nil"/>
            </w:tcBorders>
            <w:vAlign w:val="center"/>
          </w:tcPr>
          <w:p>
            <w:pPr>
              <w:spacing w:before="48" w:beforeLines="20"/>
              <w:jc w:val="center"/>
              <w:rPr>
                <w:rFonts w:hint="eastAsia"/>
                <w:szCs w:val="21"/>
                <w:lang w:val="en-US" w:eastAsia="zh-CN"/>
              </w:rPr>
            </w:pPr>
          </w:p>
        </w:tc>
        <w:tc>
          <w:tcPr>
            <w:tcW w:w="789" w:type="pct"/>
            <w:vMerge w:val="continue"/>
            <w:tcBorders>
              <w:tl2br w:val="nil"/>
              <w:tr2bl w:val="nil"/>
            </w:tcBorders>
            <w:vAlign w:val="center"/>
          </w:tcPr>
          <w:p>
            <w:pPr>
              <w:spacing w:before="48" w:beforeLines="20"/>
              <w:jc w:val="center"/>
              <w:rPr>
                <w:rFonts w:hint="eastAsia"/>
                <w:szCs w:val="21"/>
                <w:lang w:val="en-US" w:eastAsia="zh-CN"/>
              </w:rPr>
            </w:pPr>
          </w:p>
        </w:tc>
        <w:tc>
          <w:tcPr>
            <w:tcW w:w="1008"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相对偏差（%）</w:t>
            </w:r>
          </w:p>
        </w:tc>
        <w:tc>
          <w:tcPr>
            <w:tcW w:w="13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加标回收率（%）</w:t>
            </w:r>
          </w:p>
        </w:tc>
        <w:tc>
          <w:tcPr>
            <w:tcW w:w="894" w:type="pct"/>
            <w:vMerge w:val="continue"/>
            <w:tcBorders>
              <w:tl2br w:val="nil"/>
              <w:tr2bl w:val="nil"/>
            </w:tcBorders>
            <w:vAlign w:val="center"/>
          </w:tcPr>
          <w:p>
            <w:pPr>
              <w:spacing w:before="48" w:beforeLines="20"/>
              <w:jc w:val="center"/>
              <w:rPr>
                <w:rFonts w:hint="eastAsia"/>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8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无机元素</w:t>
            </w:r>
          </w:p>
        </w:tc>
        <w:tc>
          <w:tcPr>
            <w:tcW w:w="78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1008"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p>
            <w:pPr>
              <w:spacing w:before="48" w:beforeLines="20"/>
              <w:jc w:val="center"/>
              <w:rPr>
                <w:rFonts w:hint="eastAsia"/>
                <w:szCs w:val="21"/>
                <w:lang w:val="en-US" w:eastAsia="zh-CN"/>
              </w:rPr>
            </w:pPr>
            <w:r>
              <w:rPr>
                <w:rFonts w:hint="eastAsia"/>
                <w:szCs w:val="21"/>
                <w:lang w:val="en-US" w:eastAsia="zh-CN"/>
              </w:rPr>
              <w:t>20</w:t>
            </w:r>
          </w:p>
        </w:tc>
        <w:tc>
          <w:tcPr>
            <w:tcW w:w="13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80～120</w:t>
            </w:r>
          </w:p>
          <w:p>
            <w:pPr>
              <w:spacing w:before="48" w:beforeLines="20"/>
              <w:jc w:val="center"/>
              <w:rPr>
                <w:rFonts w:hint="eastAsia"/>
                <w:szCs w:val="21"/>
                <w:lang w:val="en-US" w:eastAsia="zh-CN"/>
              </w:rPr>
            </w:pPr>
            <w:r>
              <w:rPr>
                <w:rFonts w:hint="eastAsia"/>
                <w:szCs w:val="21"/>
                <w:lang w:val="en-US" w:eastAsia="zh-CN"/>
              </w:rPr>
              <w:t>90～110</w:t>
            </w:r>
          </w:p>
        </w:tc>
        <w:tc>
          <w:tcPr>
            <w:tcW w:w="89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AAS、ICP-A</w:t>
            </w:r>
          </w:p>
          <w:p>
            <w:pPr>
              <w:spacing w:before="48" w:beforeLines="20"/>
              <w:jc w:val="center"/>
              <w:rPr>
                <w:rFonts w:hint="eastAsia"/>
                <w:szCs w:val="21"/>
                <w:lang w:val="en-US" w:eastAsia="zh-CN"/>
              </w:rPr>
            </w:pPr>
            <w:r>
              <w:rPr>
                <w:rFonts w:hint="eastAsia"/>
                <w:szCs w:val="21"/>
                <w:lang w:val="en-US" w:eastAsia="zh-CN"/>
              </w:rPr>
              <w:t>ES、ICP-MS</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8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挥发性有机物</w:t>
            </w:r>
          </w:p>
        </w:tc>
        <w:tc>
          <w:tcPr>
            <w:tcW w:w="78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1008"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p>
            <w:pPr>
              <w:spacing w:before="48" w:beforeLines="20"/>
              <w:jc w:val="center"/>
              <w:rPr>
                <w:rFonts w:hint="eastAsia"/>
                <w:szCs w:val="21"/>
                <w:lang w:val="en-US" w:eastAsia="zh-CN"/>
              </w:rPr>
            </w:pPr>
            <w:r>
              <w:rPr>
                <w:rFonts w:hint="eastAsia"/>
                <w:szCs w:val="21"/>
                <w:lang w:val="en-US" w:eastAsia="zh-CN"/>
              </w:rPr>
              <w:t>25</w:t>
            </w:r>
          </w:p>
        </w:tc>
        <w:tc>
          <w:tcPr>
            <w:tcW w:w="13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70～130</w:t>
            </w:r>
          </w:p>
        </w:tc>
        <w:tc>
          <w:tcPr>
            <w:tcW w:w="89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GC、GC-MSD</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8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半挥发性有机物</w:t>
            </w:r>
          </w:p>
        </w:tc>
        <w:tc>
          <w:tcPr>
            <w:tcW w:w="78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1008"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p>
            <w:pPr>
              <w:spacing w:before="48" w:beforeLines="20"/>
              <w:jc w:val="center"/>
              <w:rPr>
                <w:rFonts w:hint="eastAsia"/>
                <w:szCs w:val="21"/>
                <w:lang w:val="en-US" w:eastAsia="zh-CN"/>
              </w:rPr>
            </w:pPr>
            <w:r>
              <w:rPr>
                <w:rFonts w:hint="eastAsia"/>
                <w:szCs w:val="21"/>
                <w:lang w:val="en-US" w:eastAsia="zh-CN"/>
              </w:rPr>
              <w:t>30</w:t>
            </w:r>
          </w:p>
        </w:tc>
        <w:tc>
          <w:tcPr>
            <w:tcW w:w="13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60～140</w:t>
            </w:r>
          </w:p>
        </w:tc>
        <w:tc>
          <w:tcPr>
            <w:tcW w:w="89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GC、GC-MSD</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81"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难挥发性有机物</w:t>
            </w:r>
          </w:p>
        </w:tc>
        <w:tc>
          <w:tcPr>
            <w:tcW w:w="78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1008"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p>
            <w:pPr>
              <w:spacing w:before="48" w:beforeLines="20"/>
              <w:jc w:val="center"/>
              <w:rPr>
                <w:rFonts w:hint="eastAsia"/>
                <w:szCs w:val="21"/>
                <w:lang w:val="en-US" w:eastAsia="zh-CN"/>
              </w:rPr>
            </w:pPr>
            <w:r>
              <w:rPr>
                <w:rFonts w:hint="eastAsia"/>
                <w:szCs w:val="21"/>
                <w:lang w:val="en-US" w:eastAsia="zh-CN"/>
              </w:rPr>
              <w:t>30</w:t>
            </w:r>
          </w:p>
        </w:tc>
        <w:tc>
          <w:tcPr>
            <w:tcW w:w="13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60～140</w:t>
            </w:r>
          </w:p>
        </w:tc>
        <w:tc>
          <w:tcPr>
            <w:tcW w:w="89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GC-MSD</w:t>
            </w:r>
          </w:p>
        </w:tc>
      </w:tr>
    </w:tbl>
    <w:p>
      <w:pPr>
        <w:adjustRightInd w:val="0"/>
        <w:snapToGrid w:val="0"/>
        <w:spacing w:line="360" w:lineRule="auto"/>
        <w:ind w:firstLine="360" w:firstLineChars="200"/>
        <w:rPr>
          <w:rFonts w:hint="eastAsia" w:ascii="Times New Roman" w:hAnsi="Times New Roman" w:cs="Times New Roman" w:eastAsiaTheme="minorEastAsia"/>
          <w:color w:val="000000"/>
          <w:sz w:val="18"/>
          <w:szCs w:val="18"/>
          <w:lang w:val="en-US" w:eastAsia="zh-CN"/>
        </w:rPr>
      </w:pPr>
      <w:r>
        <w:rPr>
          <w:rFonts w:hint="eastAsia" w:ascii="Times New Roman" w:hAnsi="Times New Roman" w:cs="Times New Roman" w:eastAsiaTheme="minorEastAsia"/>
          <w:color w:val="000000"/>
          <w:sz w:val="18"/>
          <w:szCs w:val="18"/>
          <w:lang w:val="en-US" w:eastAsia="zh-CN"/>
        </w:rPr>
        <w:t>注：1）MDL—方法检出限；AAS—原子吸收光谱法；ICP-AES—电感耦合等离子体发射光谱法；ICP-MS—电感耦合等离子体质谱法；GC—气相色谱法；GC-MSD—气相色谱质谱法。</w:t>
      </w:r>
    </w:p>
    <w:p>
      <w:pPr>
        <w:adjustRightInd w:val="0"/>
        <w:snapToGrid w:val="0"/>
        <w:spacing w:line="360" w:lineRule="auto"/>
        <w:ind w:firstLine="482" w:firstLineChars="200"/>
        <w:jc w:val="center"/>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b/>
          <w:bCs/>
          <w:color w:val="000000"/>
          <w:sz w:val="24"/>
          <w:szCs w:val="20"/>
          <w:lang w:val="en-US" w:eastAsia="zh-CN"/>
        </w:rPr>
        <w:t>表</w:t>
      </w:r>
      <w:r>
        <w:rPr>
          <w:rFonts w:hint="eastAsia" w:ascii="Times New Roman" w:hAnsi="Times New Roman" w:cs="Times New Roman"/>
          <w:color w:val="000000"/>
          <w:sz w:val="24"/>
          <w:szCs w:val="20"/>
          <w:lang w:val="en-US" w:eastAsia="zh-CN"/>
        </w:rPr>
        <w:t>9.3.5-4</w:t>
      </w:r>
      <w:r>
        <w:rPr>
          <w:rFonts w:hint="eastAsia" w:ascii="Times New Roman" w:hAnsi="Times New Roman" w:cs="Times New Roman" w:eastAsiaTheme="minorEastAsia"/>
          <w:b/>
          <w:bCs/>
          <w:color w:val="000000"/>
          <w:sz w:val="24"/>
          <w:szCs w:val="20"/>
          <w:lang w:val="en-US" w:eastAsia="zh-CN"/>
        </w:rPr>
        <w:t xml:space="preserve"> 地下水样品中其他检测项目分析测试精密度与准确度允许范围</w:t>
      </w:r>
    </w:p>
    <w:tbl>
      <w:tblPr>
        <w:tblStyle w:val="17"/>
        <w:tblW w:w="4998"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autofit"/>
        <w:tblCellMar>
          <w:top w:w="0" w:type="dxa"/>
          <w:left w:w="0" w:type="dxa"/>
          <w:bottom w:w="0" w:type="dxa"/>
          <w:right w:w="0" w:type="dxa"/>
        </w:tblCellMar>
      </w:tblPr>
      <w:tblGrid>
        <w:gridCol w:w="1695"/>
        <w:gridCol w:w="1263"/>
        <w:gridCol w:w="1714"/>
        <w:gridCol w:w="1998"/>
        <w:gridCol w:w="2037"/>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73" w:type="pct"/>
            <w:vMerge w:val="restar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检测项目</w:t>
            </w:r>
          </w:p>
        </w:tc>
        <w:tc>
          <w:tcPr>
            <w:tcW w:w="725" w:type="pct"/>
            <w:vMerge w:val="restart"/>
            <w:tcBorders>
              <w:tl2br w:val="nil"/>
              <w:tr2bl w:val="nil"/>
            </w:tcBorders>
            <w:vAlign w:val="center"/>
          </w:tcPr>
          <w:p>
            <w:pPr>
              <w:spacing w:before="48" w:beforeLines="20"/>
              <w:jc w:val="center"/>
              <w:rPr>
                <w:rFonts w:hint="eastAsia"/>
                <w:szCs w:val="21"/>
                <w:lang w:val="en-US" w:eastAsia="zh-CN"/>
              </w:rPr>
            </w:pPr>
          </w:p>
          <w:p>
            <w:pPr>
              <w:spacing w:before="48" w:beforeLines="20"/>
              <w:jc w:val="center"/>
              <w:rPr>
                <w:rFonts w:hint="eastAsia"/>
                <w:szCs w:val="21"/>
                <w:lang w:val="en-US" w:eastAsia="zh-CN"/>
              </w:rPr>
            </w:pPr>
            <w:r>
              <w:rPr>
                <w:rFonts w:hint="eastAsia"/>
                <w:szCs w:val="21"/>
                <w:lang w:val="en-US" w:eastAsia="zh-CN"/>
              </w:rPr>
              <w:t>含量范围</w:t>
            </w:r>
          </w:p>
        </w:tc>
        <w:tc>
          <w:tcPr>
            <w:tcW w:w="98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精密度</w:t>
            </w:r>
          </w:p>
        </w:tc>
        <w:tc>
          <w:tcPr>
            <w:tcW w:w="114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准确度</w:t>
            </w:r>
          </w:p>
        </w:tc>
        <w:tc>
          <w:tcPr>
            <w:tcW w:w="1169" w:type="pct"/>
            <w:vMerge w:val="restart"/>
            <w:tcBorders>
              <w:tl2br w:val="nil"/>
              <w:tr2bl w:val="nil"/>
            </w:tcBorders>
            <w:vAlign w:val="center"/>
          </w:tcPr>
          <w:p>
            <w:pPr>
              <w:spacing w:before="48" w:beforeLines="20"/>
              <w:jc w:val="center"/>
              <w:rPr>
                <w:rFonts w:hint="eastAsia"/>
                <w:szCs w:val="21"/>
                <w:lang w:val="en-US" w:eastAsia="zh-CN"/>
              </w:rPr>
            </w:pPr>
          </w:p>
          <w:p>
            <w:pPr>
              <w:spacing w:before="48" w:beforeLines="20"/>
              <w:jc w:val="center"/>
              <w:rPr>
                <w:rFonts w:hint="eastAsia"/>
                <w:szCs w:val="21"/>
                <w:lang w:val="en-US" w:eastAsia="zh-CN"/>
              </w:rPr>
            </w:pPr>
            <w:r>
              <w:rPr>
                <w:rFonts w:hint="eastAsia"/>
                <w:szCs w:val="21"/>
                <w:lang w:val="en-US" w:eastAsia="zh-CN"/>
              </w:rPr>
              <w:t>适用的分析方法</w:t>
            </w:r>
          </w:p>
          <w:p>
            <w:pPr>
              <w:spacing w:before="48" w:beforeLines="20"/>
              <w:jc w:val="center"/>
              <w:rPr>
                <w:rFonts w:hint="eastAsia"/>
                <w:szCs w:val="21"/>
                <w:lang w:val="en-US" w:eastAsia="zh-CN"/>
              </w:rPr>
            </w:pPr>
            <w:r>
              <w:rPr>
                <w:rFonts w:hint="eastAsia"/>
                <w:szCs w:val="21"/>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73" w:type="pct"/>
            <w:vMerge w:val="continue"/>
            <w:tcBorders>
              <w:tl2br w:val="nil"/>
              <w:tr2bl w:val="nil"/>
            </w:tcBorders>
            <w:vAlign w:val="center"/>
          </w:tcPr>
          <w:p>
            <w:pPr>
              <w:spacing w:before="48" w:beforeLines="20"/>
              <w:jc w:val="center"/>
              <w:rPr>
                <w:rFonts w:hint="eastAsia"/>
                <w:szCs w:val="21"/>
                <w:lang w:val="en-US" w:eastAsia="zh-CN"/>
              </w:rPr>
            </w:pPr>
          </w:p>
        </w:tc>
        <w:tc>
          <w:tcPr>
            <w:tcW w:w="725" w:type="pct"/>
            <w:vMerge w:val="continue"/>
            <w:tcBorders>
              <w:tl2br w:val="nil"/>
              <w:tr2bl w:val="nil"/>
            </w:tcBorders>
            <w:vAlign w:val="center"/>
          </w:tcPr>
          <w:p>
            <w:pPr>
              <w:spacing w:before="48" w:beforeLines="20"/>
              <w:jc w:val="center"/>
              <w:rPr>
                <w:rFonts w:hint="eastAsia"/>
                <w:szCs w:val="21"/>
                <w:lang w:val="en-US" w:eastAsia="zh-CN"/>
              </w:rPr>
            </w:pPr>
          </w:p>
        </w:tc>
        <w:tc>
          <w:tcPr>
            <w:tcW w:w="98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相对偏差（%）</w:t>
            </w:r>
          </w:p>
        </w:tc>
        <w:tc>
          <w:tcPr>
            <w:tcW w:w="114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加标回收率（%</w:t>
            </w:r>
          </w:p>
        </w:tc>
        <w:tc>
          <w:tcPr>
            <w:tcW w:w="1169" w:type="pct"/>
            <w:vMerge w:val="continue"/>
            <w:tcBorders>
              <w:tl2br w:val="nil"/>
              <w:tr2bl w:val="nil"/>
            </w:tcBorders>
            <w:vAlign w:val="center"/>
          </w:tcPr>
          <w:p>
            <w:pPr>
              <w:spacing w:before="48" w:beforeLines="20"/>
              <w:jc w:val="center"/>
              <w:rPr>
                <w:rFonts w:hint="eastAsia"/>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73"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无机元素</w:t>
            </w:r>
          </w:p>
        </w:tc>
        <w:tc>
          <w:tcPr>
            <w:tcW w:w="7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98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30</w:t>
            </w:r>
          </w:p>
          <w:p>
            <w:pPr>
              <w:spacing w:before="48" w:beforeLines="20"/>
              <w:jc w:val="center"/>
              <w:rPr>
                <w:rFonts w:hint="eastAsia"/>
                <w:szCs w:val="21"/>
                <w:lang w:val="en-US" w:eastAsia="zh-CN"/>
              </w:rPr>
            </w:pPr>
            <w:r>
              <w:rPr>
                <w:rFonts w:hint="eastAsia"/>
                <w:szCs w:val="21"/>
                <w:lang w:val="en-US" w:eastAsia="zh-CN"/>
              </w:rPr>
              <w:t>20</w:t>
            </w:r>
          </w:p>
        </w:tc>
        <w:tc>
          <w:tcPr>
            <w:tcW w:w="114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70～130</w:t>
            </w:r>
          </w:p>
        </w:tc>
        <w:tc>
          <w:tcPr>
            <w:tcW w:w="116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AAS、ICP-AES、</w:t>
            </w:r>
          </w:p>
          <w:p>
            <w:pPr>
              <w:spacing w:before="48" w:beforeLines="20"/>
              <w:jc w:val="center"/>
              <w:rPr>
                <w:rFonts w:hint="eastAsia"/>
                <w:szCs w:val="21"/>
                <w:lang w:val="en-US" w:eastAsia="zh-CN"/>
              </w:rPr>
            </w:pPr>
            <w:r>
              <w:rPr>
                <w:rFonts w:hint="eastAsia"/>
                <w:szCs w:val="21"/>
                <w:lang w:val="en-US" w:eastAsia="zh-CN"/>
              </w:rPr>
              <w:t>ICP-MS</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73"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挥发性有机物</w:t>
            </w:r>
          </w:p>
        </w:tc>
        <w:tc>
          <w:tcPr>
            <w:tcW w:w="7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98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p>
            <w:pPr>
              <w:spacing w:before="48" w:beforeLines="20"/>
              <w:jc w:val="center"/>
              <w:rPr>
                <w:rFonts w:hint="eastAsia"/>
                <w:szCs w:val="21"/>
                <w:lang w:val="en-US" w:eastAsia="zh-CN"/>
              </w:rPr>
            </w:pPr>
            <w:r>
              <w:rPr>
                <w:rFonts w:hint="eastAsia"/>
                <w:szCs w:val="21"/>
                <w:lang w:val="en-US" w:eastAsia="zh-CN"/>
              </w:rPr>
              <w:t>30</w:t>
            </w:r>
          </w:p>
        </w:tc>
        <w:tc>
          <w:tcPr>
            <w:tcW w:w="114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70～130</w:t>
            </w:r>
          </w:p>
        </w:tc>
        <w:tc>
          <w:tcPr>
            <w:tcW w:w="116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HS/PT-GC、</w:t>
            </w:r>
          </w:p>
          <w:p>
            <w:pPr>
              <w:spacing w:before="48" w:beforeLines="20"/>
              <w:jc w:val="center"/>
              <w:rPr>
                <w:rFonts w:hint="eastAsia"/>
                <w:szCs w:val="21"/>
                <w:lang w:val="en-US" w:eastAsia="zh-CN"/>
              </w:rPr>
            </w:pPr>
            <w:r>
              <w:rPr>
                <w:rFonts w:hint="eastAsia"/>
                <w:szCs w:val="21"/>
                <w:lang w:val="en-US" w:eastAsia="zh-CN"/>
              </w:rPr>
              <w:t>HS/PT-GC-MSD</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624" w:hRule="atLeast"/>
        </w:trPr>
        <w:tc>
          <w:tcPr>
            <w:tcW w:w="973"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半挥发性有机物</w:t>
            </w:r>
          </w:p>
        </w:tc>
        <w:tc>
          <w:tcPr>
            <w:tcW w:w="7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98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p>
            <w:pPr>
              <w:spacing w:before="48" w:beforeLines="20"/>
              <w:jc w:val="center"/>
              <w:rPr>
                <w:rFonts w:hint="eastAsia"/>
                <w:szCs w:val="21"/>
                <w:lang w:val="en-US" w:eastAsia="zh-CN"/>
              </w:rPr>
            </w:pPr>
            <w:r>
              <w:rPr>
                <w:rFonts w:hint="eastAsia"/>
                <w:szCs w:val="21"/>
                <w:lang w:val="en-US" w:eastAsia="zh-CN"/>
              </w:rPr>
              <w:t>25</w:t>
            </w:r>
          </w:p>
        </w:tc>
        <w:tc>
          <w:tcPr>
            <w:tcW w:w="114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60～130</w:t>
            </w:r>
          </w:p>
        </w:tc>
        <w:tc>
          <w:tcPr>
            <w:tcW w:w="116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GC、GC-MSD</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PrEx>
        <w:trPr>
          <w:trHeight w:val="624" w:hRule="atLeast"/>
        </w:trPr>
        <w:tc>
          <w:tcPr>
            <w:tcW w:w="973"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难挥发性有机物</w:t>
            </w:r>
          </w:p>
        </w:tc>
        <w:tc>
          <w:tcPr>
            <w:tcW w:w="725"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≤10MDL</w:t>
            </w:r>
          </w:p>
          <w:p>
            <w:pPr>
              <w:spacing w:before="48" w:beforeLines="20"/>
              <w:jc w:val="center"/>
              <w:rPr>
                <w:rFonts w:hint="eastAsia"/>
                <w:szCs w:val="21"/>
                <w:lang w:val="en-US" w:eastAsia="zh-CN"/>
              </w:rPr>
            </w:pPr>
            <w:r>
              <w:rPr>
                <w:rFonts w:hint="eastAsia"/>
                <w:szCs w:val="21"/>
                <w:lang w:val="en-US" w:eastAsia="zh-CN"/>
              </w:rPr>
              <w:t>＞10MDL</w:t>
            </w:r>
          </w:p>
        </w:tc>
        <w:tc>
          <w:tcPr>
            <w:tcW w:w="984"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50</w:t>
            </w:r>
          </w:p>
          <w:p>
            <w:pPr>
              <w:spacing w:before="48" w:beforeLines="20"/>
              <w:jc w:val="center"/>
              <w:rPr>
                <w:rFonts w:hint="eastAsia"/>
                <w:szCs w:val="21"/>
                <w:lang w:val="en-US" w:eastAsia="zh-CN"/>
              </w:rPr>
            </w:pPr>
            <w:r>
              <w:rPr>
                <w:rFonts w:hint="eastAsia"/>
                <w:szCs w:val="21"/>
                <w:lang w:val="en-US" w:eastAsia="zh-CN"/>
              </w:rPr>
              <w:t>25</w:t>
            </w:r>
          </w:p>
        </w:tc>
        <w:tc>
          <w:tcPr>
            <w:tcW w:w="1147"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60～130</w:t>
            </w:r>
          </w:p>
        </w:tc>
        <w:tc>
          <w:tcPr>
            <w:tcW w:w="1169" w:type="pct"/>
            <w:tcBorders>
              <w:tl2br w:val="nil"/>
              <w:tr2bl w:val="nil"/>
            </w:tcBorders>
            <w:vAlign w:val="center"/>
          </w:tcPr>
          <w:p>
            <w:pPr>
              <w:spacing w:before="48" w:beforeLines="20"/>
              <w:jc w:val="center"/>
              <w:rPr>
                <w:rFonts w:hint="eastAsia"/>
                <w:szCs w:val="21"/>
                <w:lang w:val="en-US" w:eastAsia="zh-CN"/>
              </w:rPr>
            </w:pPr>
            <w:r>
              <w:rPr>
                <w:rFonts w:hint="eastAsia"/>
                <w:szCs w:val="21"/>
                <w:lang w:val="en-US" w:eastAsia="zh-CN"/>
              </w:rPr>
              <w:t>GC-MSD</w:t>
            </w:r>
          </w:p>
        </w:tc>
      </w:tr>
    </w:tbl>
    <w:p>
      <w:pPr>
        <w:adjustRightInd w:val="0"/>
        <w:snapToGrid w:val="0"/>
        <w:spacing w:line="360" w:lineRule="auto"/>
        <w:ind w:firstLine="360" w:firstLineChars="200"/>
        <w:rPr>
          <w:rFonts w:hint="eastAsia" w:ascii="Times New Roman" w:hAnsi="Times New Roman" w:cs="Times New Roman" w:eastAsiaTheme="minorEastAsia"/>
          <w:color w:val="000000"/>
          <w:sz w:val="18"/>
          <w:szCs w:val="18"/>
          <w:lang w:val="en-US" w:eastAsia="zh-CN"/>
        </w:rPr>
      </w:pPr>
      <w:r>
        <w:rPr>
          <w:rFonts w:hint="eastAsia" w:ascii="Times New Roman" w:hAnsi="Times New Roman" w:cs="Times New Roman" w:eastAsiaTheme="minorEastAsia"/>
          <w:color w:val="000000"/>
          <w:sz w:val="18"/>
          <w:szCs w:val="18"/>
          <w:lang w:val="en-US" w:eastAsia="zh-CN"/>
        </w:rPr>
        <w:t>注：MDL—方法检出限；AAS—原子吸收光谱法；ICP-AES—电感耦合等离子体发射光谱法； ICP-MS— 电感耦合等离子体质谱法； HS/PT-GC— 顶空/ 吹扫捕集- 气相色谱法； HS/PT-GC-MSD—顶空/吹扫捕集-气相色谱质谱法；GC—气相色谱法；GC-MSD—气相色谱质谱法。</w:t>
      </w:r>
    </w:p>
    <w:p>
      <w:pPr>
        <w:adjustRightInd w:val="0"/>
        <w:snapToGrid w:val="0"/>
        <w:spacing w:line="360" w:lineRule="auto"/>
        <w:ind w:firstLine="360" w:firstLineChars="200"/>
        <w:rPr>
          <w:rFonts w:hint="eastAsia" w:ascii="Times New Roman" w:hAnsi="Times New Roman" w:cs="Times New Roman" w:eastAsiaTheme="minorEastAsia"/>
          <w:color w:val="000000"/>
          <w:sz w:val="18"/>
          <w:szCs w:val="18"/>
          <w:lang w:val="en-US" w:eastAsia="zh-CN"/>
        </w:rPr>
      </w:pPr>
      <w:r>
        <w:rPr>
          <w:rFonts w:hint="eastAsia" w:ascii="Times New Roman" w:hAnsi="Times New Roman" w:cs="Times New Roman" w:eastAsiaTheme="minorEastAsia"/>
          <w:color w:val="000000"/>
          <w:sz w:val="18"/>
          <w:szCs w:val="18"/>
          <w:lang w:val="en-US" w:eastAsia="zh-CN"/>
        </w:rPr>
        <w:t>注：表1-4质控要求参照《重点行业企业用地调査疑似污染地块布点技术规定》</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6）分析测试数据记录与审核</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检测实验室应保证分析测试数据的完整性，确保全面、客观地反映分析测试结果，不得选择性地舍弃数据，人为干预分析测试结果。</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检测人员应对原始数据和报告数据进行校核。对发现的可疑报告数据，应与样品分析测试原始记录进行校对。</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pPr>
      <w:r>
        <w:rPr>
          <w:rFonts w:hint="eastAsia" w:ascii="Times New Roman" w:hAnsi="Times New Roman" w:cs="Times New Roman" w:eastAsiaTheme="minorEastAsia"/>
          <w:color w:val="000000"/>
          <w:sz w:val="24"/>
          <w:szCs w:val="20"/>
          <w:lang w:val="en-US" w:eastAsia="zh-CN"/>
        </w:rPr>
        <w:t>分析测试原始记录应有检测人员和审核人员的签名。检测人员负责填写原始记录；审核人员应检查数据记录是否完整、抄写或录入计算机时是否有误、数据是否异常等，并考虑以下因素：分析方法、分析条件、数据的有效位数、数据计算和处理过程、法定计量单位和内部质量控制数据等。</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imes New Roman" w:hAnsi="Times New Roman" w:cs="Times New Roman" w:eastAsiaTheme="minorEastAsia"/>
          <w:color w:val="000000"/>
          <w:sz w:val="24"/>
          <w:szCs w:val="20"/>
          <w:lang w:val="en-US" w:eastAsia="zh-CN"/>
        </w:rPr>
        <w:sectPr>
          <w:pgSz w:w="11910" w:h="16840"/>
          <w:pgMar w:top="1420" w:right="1540" w:bottom="1160" w:left="1660" w:header="897" w:footer="975" w:gutter="0"/>
          <w:pgBorders>
            <w:top w:val="none" w:sz="0" w:space="0"/>
            <w:left w:val="none" w:sz="0" w:space="0"/>
            <w:bottom w:val="none" w:sz="0" w:space="0"/>
            <w:right w:val="none" w:sz="0" w:space="0"/>
          </w:pgBorders>
          <w:pgNumType w:fmt="decimal"/>
          <w:cols w:space="720" w:num="1"/>
        </w:sectPr>
      </w:pPr>
      <w:r>
        <w:rPr>
          <w:rFonts w:hint="eastAsia" w:ascii="Times New Roman" w:hAnsi="Times New Roman" w:cs="Times New Roman" w:eastAsiaTheme="minorEastAsia"/>
          <w:color w:val="000000"/>
          <w:sz w:val="24"/>
          <w:szCs w:val="20"/>
          <w:lang w:val="en-US" w:eastAsia="zh-CN"/>
        </w:rPr>
        <w:t>审核人员应对数据的准确性、逻辑性、可比性和合理性进行审核。</w:t>
      </w:r>
    </w:p>
    <w:p>
      <w:pPr>
        <w:pStyle w:val="3"/>
        <w:bidi w:val="0"/>
        <w:rPr>
          <w:rFonts w:hint="eastAsia"/>
          <w:lang w:val="en-US" w:eastAsia="zh-CN"/>
        </w:rPr>
      </w:pPr>
      <w:bookmarkStart w:id="88" w:name="_Toc9630"/>
      <w:r>
        <w:rPr>
          <w:rFonts w:hint="eastAsia"/>
          <w:lang w:val="en-US" w:eastAsia="zh-CN"/>
        </w:rPr>
        <w:t>10结论与措施</w:t>
      </w:r>
      <w:bookmarkEnd w:id="88"/>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89" w:name="_Toc10160"/>
      <w:bookmarkStart w:id="90" w:name="_Toc18389"/>
      <w:r>
        <w:rPr>
          <w:rFonts w:hint="eastAsia"/>
          <w:lang w:val="en-US" w:eastAsia="zh-CN"/>
        </w:rPr>
        <w:t>10.1监测结论</w:t>
      </w:r>
      <w:bookmarkEnd w:id="89"/>
      <w:bookmarkEnd w:id="90"/>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根据本项目开展的土壤和地下水自行监测结果，得出以下结论：</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土壤污染物检测浓度均未超过《土壤环境质量建设用地土壤污染风险管控标准（试行）（GB36600-2018）》表1中第二类用地风险筛选值；</w:t>
      </w:r>
      <w:r>
        <w:rPr>
          <w:rFonts w:hint="eastAsia" w:ascii="Times New Roman" w:hAnsi="Times New Roman" w:cs="Times New Roman"/>
          <w:color w:val="auto"/>
          <w:sz w:val="24"/>
          <w:szCs w:val="24"/>
          <w:highlight w:val="none"/>
          <w:lang w:val="en-US" w:eastAsia="zh-CN"/>
        </w:rPr>
        <w:t>特征因子氰化物、N,N-二甲基甲酰胺未检出，暂无相关评价标准。</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sz w:val="24"/>
          <w:szCs w:val="24"/>
          <w:highlight w:val="none"/>
          <w:lang w:val="en-US" w:eastAsia="zh-CN"/>
        </w:rPr>
      </w:pPr>
      <w:r>
        <w:rPr>
          <w:rFonts w:hint="default" w:ascii="Times New Roman" w:hAnsi="Times New Roman" w:cs="Times New Roman"/>
          <w:color w:val="auto"/>
          <w:sz w:val="24"/>
          <w:szCs w:val="24"/>
          <w:highlight w:val="none"/>
          <w:lang w:val="en-US" w:eastAsia="zh-CN"/>
        </w:rPr>
        <w:t>地下水污染物检测项目均符合《地下水质量标准》（GB/T14848-2017）Ⅳ类标准。特征因子甲醇、可萃取性石油烃、水合肼、N,N-二甲基甲酰胺、三乙胺均未检出。</w:t>
      </w:r>
    </w:p>
    <w:p>
      <w:pPr>
        <w:pStyle w:val="4"/>
        <w:keepNext/>
        <w:keepLines/>
        <w:pageBreakBefore w:val="0"/>
        <w:widowControl w:val="0"/>
        <w:kinsoku/>
        <w:wordWrap/>
        <w:overflowPunct/>
        <w:topLinePunct w:val="0"/>
        <w:autoSpaceDE/>
        <w:autoSpaceDN/>
        <w:bidi w:val="0"/>
        <w:adjustRightInd/>
        <w:snapToGrid/>
        <w:spacing w:before="220" w:after="220" w:line="440" w:lineRule="exact"/>
        <w:textAlignment w:val="auto"/>
        <w:outlineLvl w:val="0"/>
        <w:rPr>
          <w:rFonts w:hint="eastAsia"/>
          <w:lang w:val="en-US" w:eastAsia="zh-CN"/>
        </w:rPr>
      </w:pPr>
      <w:bookmarkStart w:id="91" w:name="_Toc857"/>
      <w:bookmarkStart w:id="92" w:name="_Toc11401"/>
      <w:r>
        <w:rPr>
          <w:rFonts w:hint="eastAsia"/>
          <w:lang w:val="en-US" w:eastAsia="zh-CN"/>
        </w:rPr>
        <w:t>10.2企业针对监测结果拟采取的主要措施及选取原因</w:t>
      </w:r>
      <w:bookmarkEnd w:id="91"/>
      <w:bookmarkEnd w:id="92"/>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（1）企业应在日常监管、定期巡视检查、重点设施设备自动检测及渗漏检测等方面进行改善，加强现场管理，继续做好日常监管、定期巡视检查、重点设施设备自动检测及渗漏检测等方面的工作；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（2）建议企业加强对地下水水质情况的监控措施，提高频次，随时了解地下水水质情况，如有异常可及时排查原因，采取相应污染防治措施；</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Theme="minorEastAsia" w:hAnsiTheme="minorEastAsia" w:cstheme="minorEastAsia"/>
          <w:color w:val="auto"/>
          <w:sz w:val="24"/>
          <w:szCs w:val="24"/>
          <w:lang w:val="en-US" w:eastAsia="zh-CN"/>
        </w:rPr>
        <w:sectPr>
          <w:footerReference r:id="rId7" w:type="default"/>
          <w:pgSz w:w="11906" w:h="16838"/>
          <w:pgMar w:top="1701" w:right="1800" w:bottom="1729"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auto"/>
          <w:sz w:val="24"/>
          <w:szCs w:val="24"/>
          <w:lang w:val="en-US" w:eastAsia="zh-CN"/>
        </w:rPr>
        <w:t>（3）后期在环境监测等活动中发现土壤存在污染迹象的，应当排查污染源，查明污染原因，采</w:t>
      </w:r>
      <w:r>
        <w:rPr>
          <w:rFonts w:hint="eastAsia" w:asciiTheme="minorEastAsia" w:hAnsiTheme="minorEastAsia" w:cstheme="minorEastAsia"/>
          <w:color w:val="auto"/>
          <w:sz w:val="24"/>
          <w:szCs w:val="24"/>
          <w:lang w:val="en-US" w:eastAsia="zh-CN"/>
        </w:rPr>
        <w:t>取措施防止新增污染。</w:t>
      </w:r>
    </w:p>
    <w:p>
      <w:pPr>
        <w:pStyle w:val="3"/>
        <w:bidi w:val="0"/>
        <w:rPr>
          <w:rFonts w:hint="default"/>
          <w:sz w:val="28"/>
          <w:szCs w:val="28"/>
          <w:lang w:val="en-US" w:eastAsia="zh-CN"/>
        </w:rPr>
      </w:pPr>
      <w:bookmarkStart w:id="93" w:name="_Toc8432"/>
      <w:r>
        <w:rPr>
          <w:rFonts w:hint="eastAsia"/>
          <w:sz w:val="28"/>
          <w:szCs w:val="28"/>
          <w:lang w:val="en-US" w:eastAsia="zh-CN"/>
        </w:rPr>
        <w:t>附件：</w:t>
      </w:r>
      <w:r>
        <w:rPr>
          <w:rFonts w:hint="eastAsia"/>
          <w:sz w:val="28"/>
          <w:szCs w:val="28"/>
          <w:lang w:val="en-US" w:eastAsia="zh-CN"/>
        </w:rPr>
        <w:br w:type="textWrapping"/>
      </w:r>
      <w:r>
        <w:rPr>
          <w:rFonts w:hint="eastAsia"/>
          <w:sz w:val="28"/>
          <w:szCs w:val="28"/>
          <w:lang w:val="en-US" w:eastAsia="zh-CN"/>
        </w:rPr>
        <w:t>附件1 重点监测单元清单</w:t>
      </w:r>
      <w:bookmarkEnd w:id="93"/>
      <w:r>
        <w:rPr>
          <w:rFonts w:hint="eastAsia"/>
          <w:sz w:val="28"/>
          <w:szCs w:val="28"/>
          <w:lang w:val="en-US" w:eastAsia="zh-CN"/>
        </w:rPr>
        <w:t xml:space="preserve"> </w:t>
      </w:r>
    </w:p>
    <w:tbl>
      <w:tblPr>
        <w:tblStyle w:val="18"/>
        <w:tblW w:w="503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346"/>
        <w:gridCol w:w="1577"/>
        <w:gridCol w:w="2245"/>
        <w:gridCol w:w="1918"/>
        <w:gridCol w:w="1715"/>
        <w:gridCol w:w="872"/>
        <w:gridCol w:w="750"/>
        <w:gridCol w:w="1286"/>
        <w:gridCol w:w="16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5"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重点区域名称</w:t>
            </w: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重点场所/设施/设备名称</w:t>
            </w:r>
          </w:p>
        </w:tc>
        <w:tc>
          <w:tcPr>
            <w:tcW w:w="552"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功能重点场所/设施/设备涉及的生产活动）</w:t>
            </w:r>
          </w:p>
        </w:tc>
        <w:tc>
          <w:tcPr>
            <w:tcW w:w="786"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涉及的有毒有害物质清单</w:t>
            </w:r>
          </w:p>
        </w:tc>
        <w:tc>
          <w:tcPr>
            <w:tcW w:w="671"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关注污染物</w:t>
            </w:r>
          </w:p>
        </w:tc>
        <w:tc>
          <w:tcPr>
            <w:tcW w:w="600"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设施中心点坐标</w:t>
            </w:r>
          </w:p>
        </w:tc>
        <w:tc>
          <w:tcPr>
            <w:tcW w:w="305"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是否为隐蔽性设施</w:t>
            </w:r>
          </w:p>
        </w:tc>
        <w:tc>
          <w:tcPr>
            <w:tcW w:w="262" w:type="pct"/>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单元类别</w:t>
            </w:r>
          </w:p>
        </w:tc>
        <w:tc>
          <w:tcPr>
            <w:tcW w:w="1045" w:type="pct"/>
            <w:gridSpan w:val="2"/>
            <w:tcBorders>
              <w:tl2br w:val="nil"/>
              <w:tr2bl w:val="nil"/>
            </w:tcBorders>
            <w:vAlign w:val="center"/>
          </w:tcPr>
          <w:p>
            <w:pPr>
              <w:adjustRightInd/>
              <w:snapToGrid/>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该单元对应的监测点位编号及坐标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9" w:hRule="atLeast"/>
          <w:jc w:val="center"/>
        </w:trPr>
        <w:tc>
          <w:tcPr>
            <w:tcW w:w="305"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三废处置区</w:t>
            </w: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污水站</w:t>
            </w:r>
          </w:p>
        </w:tc>
        <w:tc>
          <w:tcPr>
            <w:tcW w:w="552"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污水处理</w:t>
            </w:r>
          </w:p>
        </w:tc>
        <w:tc>
          <w:tcPr>
            <w:tcW w:w="786"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乙醇、环己烷、乙酸乙酯、四氢呋喃、冰醋酸、甲醇、三乙胺、二氯甲烷、正庚烷、正己烷、氢气、盐酸、亚硝酸钠、乙腈、DMF、氯苯、液氨、异丙醇、水合肼、浓硫酸、溴、磺酰氯、草酰氯、二噁英、石油烃</w:t>
            </w:r>
          </w:p>
        </w:tc>
        <w:tc>
          <w:tcPr>
            <w:tcW w:w="671"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pH、乙醇、环己烷、乙酸乙酯、四氢呋喃、甲醇、三乙胺、二氯甲烷、正庚烷、正己烷、亚硝酸钠、乙腈、DMF、氯苯、液氨、异丙醇、水合肼、溴、磺酰氯、草酰氯、二噁英、石油烃</w:t>
            </w:r>
          </w:p>
        </w:tc>
        <w:tc>
          <w:tcPr>
            <w:tcW w:w="60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121°4′39.099″E, 32°31′52.832″N</w:t>
            </w:r>
          </w:p>
        </w:tc>
        <w:tc>
          <w:tcPr>
            <w:tcW w:w="305"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c>
          <w:tcPr>
            <w:tcW w:w="262"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一类</w:t>
            </w:r>
          </w:p>
        </w:tc>
        <w:tc>
          <w:tcPr>
            <w:tcW w:w="450"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T3D2污水站北侧</w:t>
            </w:r>
          </w:p>
        </w:tc>
        <w:tc>
          <w:tcPr>
            <w:tcW w:w="594"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121°4′39.099″E, 32°31′53.133″N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RTO</w:t>
            </w:r>
            <w:r>
              <w:rPr>
                <w:rFonts w:hint="eastAsia" w:ascii="Times New Roman" w:hAnsi="Times New Roman" w:eastAsia="宋体" w:cs="Times New Roman"/>
                <w:color w:val="auto"/>
                <w:sz w:val="21"/>
                <w:szCs w:val="21"/>
                <w:highlight w:val="none"/>
                <w:lang w:val="en-US" w:eastAsia="zh-CN"/>
              </w:rPr>
              <w:t>炉</w:t>
            </w:r>
          </w:p>
        </w:tc>
        <w:tc>
          <w:tcPr>
            <w:tcW w:w="552"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废气处理</w:t>
            </w:r>
          </w:p>
        </w:tc>
        <w:tc>
          <w:tcPr>
            <w:tcW w:w="786"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671"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60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121°4′37.013″E, 32°31′51.904″N</w:t>
            </w:r>
          </w:p>
        </w:tc>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262"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50"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T4 RTO炉旁</w:t>
            </w:r>
          </w:p>
        </w:tc>
        <w:tc>
          <w:tcPr>
            <w:tcW w:w="594"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121°4′36.646″E, 32°31′52.018″N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305"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生产区</w:t>
            </w: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707车间</w:t>
            </w:r>
          </w:p>
        </w:tc>
        <w:tc>
          <w:tcPr>
            <w:tcW w:w="552"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生产车间</w:t>
            </w:r>
          </w:p>
        </w:tc>
        <w:tc>
          <w:tcPr>
            <w:tcW w:w="786"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乙醇、环己烷、乙酸乙酯、四氢呋喃、冰醋酸、甲醇、三乙胺、二氯甲烷、正庚烷、正己烷、氢气、盐酸、亚硝酸钠、乙腈、DMF、氯苯、液氨、异丙醇、水合肼、浓硫酸、溴、磺酰氯、草酰氯</w:t>
            </w:r>
          </w:p>
        </w:tc>
        <w:tc>
          <w:tcPr>
            <w:tcW w:w="671"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pH、乙醇、环己烷、乙酸乙酯、四氢呋喃、甲醇、三乙胺、二氯甲烷、正庚烷、正己烷、亚硝酸钠、乙腈、DMF、氯苯、液氨、异丙醇、水合肼、溴、磺酰氯、草酰氯</w:t>
            </w:r>
          </w:p>
        </w:tc>
        <w:tc>
          <w:tcPr>
            <w:tcW w:w="60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121°4′33.672″E, 32°31′53.272″N</w:t>
            </w:r>
          </w:p>
        </w:tc>
        <w:tc>
          <w:tcPr>
            <w:tcW w:w="305"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是</w:t>
            </w:r>
          </w:p>
        </w:tc>
        <w:tc>
          <w:tcPr>
            <w:tcW w:w="262"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一类</w:t>
            </w:r>
          </w:p>
        </w:tc>
        <w:tc>
          <w:tcPr>
            <w:tcW w:w="45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 xml:space="preserve">T1D1 </w:t>
            </w:r>
            <w:r>
              <w:rPr>
                <w:rFonts w:hint="eastAsia" w:ascii="Times New Roman" w:hAnsi="Times New Roman" w:eastAsia="宋体" w:cs="Times New Roman"/>
                <w:color w:val="0000FF"/>
                <w:kern w:val="0"/>
                <w:sz w:val="21"/>
                <w:szCs w:val="21"/>
                <w:lang w:val="en-US" w:eastAsia="zh-CN"/>
              </w:rPr>
              <w:t>707车间北侧</w:t>
            </w:r>
          </w:p>
        </w:tc>
        <w:tc>
          <w:tcPr>
            <w:tcW w:w="594"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sz w:val="21"/>
                <w:szCs w:val="21"/>
                <w:lang w:val="en-US" w:eastAsia="zh-CN"/>
              </w:rPr>
            </w:pPr>
            <w:r>
              <w:rPr>
                <w:rFonts w:hint="default" w:ascii="Times New Roman" w:hAnsi="Times New Roman" w:cs="Times New Roman"/>
                <w:color w:val="auto"/>
                <w:sz w:val="21"/>
                <w:szCs w:val="21"/>
                <w:highlight w:val="none"/>
                <w:lang w:val="en-US" w:eastAsia="zh-CN"/>
              </w:rPr>
              <w:t>121°4′32.996″E, 32°31′54.273″N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702车间</w:t>
            </w:r>
          </w:p>
        </w:tc>
        <w:tc>
          <w:tcPr>
            <w:tcW w:w="552"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786"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671"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60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121°4′36.530″E, 32°31′48.680″N</w:t>
            </w:r>
          </w:p>
        </w:tc>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262"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5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T2 702车间东</w:t>
            </w:r>
          </w:p>
        </w:tc>
        <w:tc>
          <w:tcPr>
            <w:tcW w:w="594"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121°4′38.297″E, 32°31′48.151″N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5"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仓储区</w:t>
            </w: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储罐区</w:t>
            </w:r>
          </w:p>
        </w:tc>
        <w:tc>
          <w:tcPr>
            <w:tcW w:w="552"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液体物料储存</w:t>
            </w:r>
          </w:p>
        </w:tc>
        <w:tc>
          <w:tcPr>
            <w:tcW w:w="786" w:type="pct"/>
            <w:tcBorders>
              <w:tl2br w:val="nil"/>
              <w:tr2bl w:val="nil"/>
            </w:tcBorders>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乙醇、环己烷、乙酸乙酯、四氢呋喃、冰醋酸、甲醇、三乙胺、二氯甲烷、正庚烷、正己烷、氢气、盐酸、亚硝酸钠、乙腈、DMF、氯苯、液氨、异丙醇、水合肼、浓硫酸、溴、磺酰氯、草酰氯</w:t>
            </w:r>
          </w:p>
        </w:tc>
        <w:tc>
          <w:tcPr>
            <w:tcW w:w="671" w:type="pct"/>
            <w:tcBorders>
              <w:tl2br w:val="nil"/>
              <w:tr2bl w:val="nil"/>
            </w:tcBorders>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pH、乙醇、环己烷、乙酸乙酯、四氢呋喃、甲醇、三乙胺、二氯甲烷、正庚烷、正己烷、亚硝酸钠、乙腈、DMF、氯苯、液氨、异丙醇、水合肼、溴、磺酰氯、草酰氯</w:t>
            </w:r>
          </w:p>
        </w:tc>
        <w:tc>
          <w:tcPr>
            <w:tcW w:w="600" w:type="pct"/>
            <w:tcBorders>
              <w:tl2br w:val="nil"/>
              <w:tr2bl w:val="nil"/>
            </w:tcBorders>
            <w:vAlign w:val="center"/>
          </w:tcPr>
          <w:p>
            <w:pPr>
              <w:pStyle w:val="14"/>
              <w:keepNext w:val="0"/>
              <w:keepLines w:val="0"/>
              <w:widowControl/>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121°4′41.493″E, 32°31′50.504″N</w:t>
            </w:r>
          </w:p>
        </w:tc>
        <w:tc>
          <w:tcPr>
            <w:tcW w:w="305"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否</w:t>
            </w:r>
          </w:p>
        </w:tc>
        <w:tc>
          <w:tcPr>
            <w:tcW w:w="262" w:type="pct"/>
            <w:vMerge w:val="restar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二类</w:t>
            </w:r>
          </w:p>
        </w:tc>
        <w:tc>
          <w:tcPr>
            <w:tcW w:w="450"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T5D3储罐东北角</w:t>
            </w:r>
          </w:p>
        </w:tc>
        <w:tc>
          <w:tcPr>
            <w:tcW w:w="594" w:type="pct"/>
            <w:tcBorders>
              <w:tl2br w:val="nil"/>
              <w:tr2bl w:val="nil"/>
            </w:tcBorders>
            <w:vAlign w:val="center"/>
          </w:tcPr>
          <w:p>
            <w:pPr>
              <w:pStyle w:val="14"/>
              <w:keepNext w:val="0"/>
              <w:keepLines w:val="0"/>
              <w:widowControl/>
              <w:suppressLineNumbers w:val="0"/>
              <w:spacing w:before="0" w:beforeAutospacing="0" w:after="0" w:afterAutospacing="0"/>
              <w:ind w:left="0" w:leftChars="0" w:right="0" w:rightChars="0" w:firstLine="0" w:firstLineChars="0"/>
              <w:jc w:val="left"/>
              <w:rPr>
                <w:rFonts w:hint="default" w:ascii="Times New Roman" w:hAnsi="Times New Roman" w:cs="Times New Roman" w:eastAsiaTheme="minorEastAsia"/>
                <w:kern w:val="0"/>
                <w:sz w:val="21"/>
                <w:szCs w:val="21"/>
                <w:lang w:val="en-US" w:eastAsia="zh-CN" w:bidi="ar"/>
              </w:rPr>
            </w:pPr>
            <w:r>
              <w:rPr>
                <w:rFonts w:hint="default" w:ascii="Times New Roman" w:hAnsi="Times New Roman" w:cs="Times New Roman" w:eastAsiaTheme="minorEastAsia"/>
                <w:kern w:val="0"/>
                <w:sz w:val="21"/>
                <w:szCs w:val="21"/>
                <w:lang w:val="en-US" w:eastAsia="zh-CN" w:bidi="ar"/>
              </w:rPr>
              <w:t>121°4′41.995″E, 32°31′50.911″N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0" w:hRule="atLeast"/>
          <w:jc w:val="center"/>
        </w:trPr>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丙类仓库2</w:t>
            </w:r>
          </w:p>
        </w:tc>
        <w:tc>
          <w:tcPr>
            <w:tcW w:w="552"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化学品</w:t>
            </w:r>
            <w:r>
              <w:rPr>
                <w:rFonts w:hint="default" w:ascii="Times New Roman" w:hAnsi="Times New Roman" w:eastAsia="宋体" w:cs="Times New Roman"/>
                <w:color w:val="auto"/>
                <w:sz w:val="21"/>
                <w:szCs w:val="21"/>
                <w:highlight w:val="none"/>
                <w:lang w:val="en-US" w:eastAsia="zh-CN"/>
              </w:rPr>
              <w:t>贮存</w:t>
            </w:r>
          </w:p>
        </w:tc>
        <w:tc>
          <w:tcPr>
            <w:tcW w:w="786" w:type="pct"/>
            <w:vMerge w:val="restart"/>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乙醇、环己烷、乙酸乙酯、四氢呋喃、冰醋酸、甲醇、三乙胺、二氯甲烷、正庚烷、正己烷、氢气、盐酸、亚硝酸钠、乙腈、DMF、氯苯、液氨、异丙醇、水合肼、浓硫酸、溴、磺酰氯、草酰氯、石油烃</w:t>
            </w:r>
          </w:p>
        </w:tc>
        <w:tc>
          <w:tcPr>
            <w:tcW w:w="671" w:type="pct"/>
            <w:vMerge w:val="restart"/>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pH、乙醇、环己烷、乙酸乙酯、四氢呋喃、甲醇、三乙胺、二氯甲烷、正庚烷、正己烷、亚硝酸钠、乙腈、DMF、氯苯、液氨、异丙醇、水合肼、溴、磺酰氯、草酰氯、石油烃</w:t>
            </w:r>
          </w:p>
        </w:tc>
        <w:tc>
          <w:tcPr>
            <w:tcW w:w="60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121°4′45.530″E, 32°31′50.146″N</w:t>
            </w:r>
          </w:p>
        </w:tc>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262"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50"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T6D4丙类仓库2北侧</w:t>
            </w:r>
          </w:p>
        </w:tc>
        <w:tc>
          <w:tcPr>
            <w:tcW w:w="594"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121°4′44.989″E, 32°31′51.009″N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71"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甲类仓库3</w:t>
            </w:r>
          </w:p>
        </w:tc>
        <w:tc>
          <w:tcPr>
            <w:tcW w:w="552"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危险品贮存</w:t>
            </w:r>
          </w:p>
        </w:tc>
        <w:tc>
          <w:tcPr>
            <w:tcW w:w="786" w:type="pct"/>
            <w:vMerge w:val="continue"/>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lang w:val="en-US" w:eastAsia="zh-CN"/>
              </w:rPr>
            </w:pPr>
          </w:p>
        </w:tc>
        <w:tc>
          <w:tcPr>
            <w:tcW w:w="671" w:type="pct"/>
            <w:vMerge w:val="continue"/>
            <w:tcBorders>
              <w:tl2br w:val="nil"/>
              <w:tr2bl w:val="nil"/>
            </w:tcBorders>
            <w:vAlign w:val="center"/>
          </w:tcPr>
          <w:p>
            <w:pPr>
              <w:widowControl/>
              <w:jc w:val="center"/>
              <w:rPr>
                <w:rFonts w:hint="default" w:ascii="Times New Roman" w:hAnsi="Times New Roman" w:eastAsia="宋体" w:cs="Times New Roman"/>
                <w:color w:val="auto"/>
                <w:sz w:val="21"/>
                <w:szCs w:val="21"/>
                <w:highlight w:val="none"/>
                <w:lang w:val="en-US" w:eastAsia="zh-CN"/>
              </w:rPr>
            </w:pPr>
          </w:p>
        </w:tc>
        <w:tc>
          <w:tcPr>
            <w:tcW w:w="600"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121°4′45.993″E, 32°31′47.068″N</w:t>
            </w:r>
          </w:p>
        </w:tc>
        <w:tc>
          <w:tcPr>
            <w:tcW w:w="305"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262" w:type="pct"/>
            <w:vMerge w:val="continue"/>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p>
        </w:tc>
        <w:tc>
          <w:tcPr>
            <w:tcW w:w="450" w:type="pct"/>
            <w:tcBorders>
              <w:tl2br w:val="nil"/>
              <w:tr2bl w:val="nil"/>
            </w:tcBorders>
            <w:vAlign w:val="center"/>
          </w:tcPr>
          <w:p>
            <w:pPr>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T7甲类仓库3南侧</w:t>
            </w:r>
          </w:p>
        </w:tc>
        <w:tc>
          <w:tcPr>
            <w:tcW w:w="594" w:type="pct"/>
            <w:tcBorders>
              <w:tl2br w:val="nil"/>
              <w:tr2bl w:val="nil"/>
            </w:tcBorders>
            <w:vAlign w:val="center"/>
          </w:tcPr>
          <w:p>
            <w:pPr>
              <w:pStyle w:val="14"/>
              <w:keepNext w:val="0"/>
              <w:keepLines w:val="0"/>
              <w:widowControl/>
              <w:suppressLineNumbers w:val="0"/>
              <w:spacing w:before="0" w:beforeAutospacing="0" w:after="0" w:afterAutospacing="0"/>
              <w:ind w:left="0" w:right="0" w:firstLine="0"/>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121°4′45.993″E, 32°31′46.645″N</w:t>
            </w:r>
          </w:p>
        </w:tc>
      </w:tr>
    </w:tbl>
    <w:p>
      <w:pPr>
        <w:pStyle w:val="3"/>
        <w:bidi w:val="0"/>
        <w:rPr>
          <w:rFonts w:hint="default"/>
          <w:sz w:val="28"/>
          <w:szCs w:val="28"/>
          <w:lang w:val="en-US" w:eastAsia="zh-CN"/>
        </w:rPr>
        <w:sectPr>
          <w:pgSz w:w="16838" w:h="11906" w:orient="landscape"/>
          <w:pgMar w:top="1463" w:right="1417" w:bottom="1463" w:left="1446"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eastAsia"/>
          <w:sz w:val="28"/>
          <w:szCs w:val="28"/>
          <w:lang w:val="en-US" w:eastAsia="zh-CN"/>
        </w:rPr>
      </w:pPr>
      <w:bookmarkStart w:id="94" w:name="_Toc29672"/>
      <w:r>
        <w:rPr>
          <w:rFonts w:hint="eastAsia"/>
          <w:sz w:val="28"/>
          <w:szCs w:val="28"/>
          <w:lang w:val="en-US" w:eastAsia="zh-CN"/>
        </w:rPr>
        <w:t>附件2：实验室样品检测报告</w:t>
      </w:r>
      <w:bookmarkEnd w:id="94"/>
      <w:r>
        <w:rPr>
          <w:rFonts w:hint="eastAsia"/>
          <w:sz w:val="28"/>
          <w:szCs w:val="28"/>
          <w:lang w:val="en-US" w:eastAsia="zh-CN"/>
        </w:rPr>
        <w:t xml:space="preserve"> </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bookmarkStart w:id="95" w:name="_Toc32631"/>
            <w:r>
              <w:rPr>
                <w:rFonts w:hint="eastAsia"/>
                <w:sz w:val="28"/>
                <w:szCs w:val="28"/>
                <w:vertAlign w:val="baseline"/>
                <w:lang w:val="en-US" w:eastAsia="zh-CN"/>
              </w:rPr>
              <w:drawing>
                <wp:inline distT="0" distB="0" distL="114300" distR="114300">
                  <wp:extent cx="5601970" cy="7923530"/>
                  <wp:effectExtent l="0" t="0" r="17780" b="1270"/>
                  <wp:docPr id="82" name="图片 82" descr="第1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第1页-1"/>
                          <pic:cNvPicPr>
                            <a:picLocks noChangeAspect="1"/>
                          </pic:cNvPicPr>
                        </pic:nvPicPr>
                        <pic:blipFill>
                          <a:blip r:embed="rId24"/>
                          <a:stretch>
                            <a:fillRect/>
                          </a:stretch>
                        </pic:blipFill>
                        <pic:spPr>
                          <a:xfrm>
                            <a:off x="0" y="0"/>
                            <a:ext cx="5601970" cy="79235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711825" cy="8079740"/>
                  <wp:effectExtent l="0" t="0" r="3175" b="16510"/>
                  <wp:docPr id="83" name="图片 83" descr="第2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第2页-2"/>
                          <pic:cNvPicPr>
                            <a:picLocks noChangeAspect="1"/>
                          </pic:cNvPicPr>
                        </pic:nvPicPr>
                        <pic:blipFill>
                          <a:blip r:embed="rId25"/>
                          <a:stretch>
                            <a:fillRect/>
                          </a:stretch>
                        </pic:blipFill>
                        <pic:spPr>
                          <a:xfrm>
                            <a:off x="0" y="0"/>
                            <a:ext cx="5711825" cy="80797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84" name="图片 84" descr="第3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第3页-3"/>
                          <pic:cNvPicPr>
                            <a:picLocks noChangeAspect="1"/>
                          </pic:cNvPicPr>
                        </pic:nvPicPr>
                        <pic:blipFill>
                          <a:blip r:embed="rId26"/>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85" name="图片 85" descr="第4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第4页-4"/>
                          <pic:cNvPicPr>
                            <a:picLocks noChangeAspect="1"/>
                          </pic:cNvPicPr>
                        </pic:nvPicPr>
                        <pic:blipFill>
                          <a:blip r:embed="rId27"/>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86" name="图片 86" descr="第5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第5页-5"/>
                          <pic:cNvPicPr>
                            <a:picLocks noChangeAspect="1"/>
                          </pic:cNvPicPr>
                        </pic:nvPicPr>
                        <pic:blipFill>
                          <a:blip r:embed="rId28"/>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87" name="图片 87" descr="第6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第6页-6"/>
                          <pic:cNvPicPr>
                            <a:picLocks noChangeAspect="1"/>
                          </pic:cNvPicPr>
                        </pic:nvPicPr>
                        <pic:blipFill>
                          <a:blip r:embed="rId29"/>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88" name="图片 88" descr="第7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第7页-7"/>
                          <pic:cNvPicPr>
                            <a:picLocks noChangeAspect="1"/>
                          </pic:cNvPicPr>
                        </pic:nvPicPr>
                        <pic:blipFill>
                          <a:blip r:embed="rId30"/>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89" name="图片 89" descr="第8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第8页-8"/>
                          <pic:cNvPicPr>
                            <a:picLocks noChangeAspect="1"/>
                          </pic:cNvPicPr>
                        </pic:nvPicPr>
                        <pic:blipFill>
                          <a:blip r:embed="rId31"/>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0" name="图片 90" descr="第9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第9页-9"/>
                          <pic:cNvPicPr>
                            <a:picLocks noChangeAspect="1"/>
                          </pic:cNvPicPr>
                        </pic:nvPicPr>
                        <pic:blipFill>
                          <a:blip r:embed="rId32"/>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1" name="图片 91" descr="第10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第10页-10"/>
                          <pic:cNvPicPr>
                            <a:picLocks noChangeAspect="1"/>
                          </pic:cNvPicPr>
                        </pic:nvPicPr>
                        <pic:blipFill>
                          <a:blip r:embed="rId33"/>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2" name="图片 92" descr="第11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第11页-11"/>
                          <pic:cNvPicPr>
                            <a:picLocks noChangeAspect="1"/>
                          </pic:cNvPicPr>
                        </pic:nvPicPr>
                        <pic:blipFill>
                          <a:blip r:embed="rId34"/>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3" name="图片 93" descr="第12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第12页-12"/>
                          <pic:cNvPicPr>
                            <a:picLocks noChangeAspect="1"/>
                          </pic:cNvPicPr>
                        </pic:nvPicPr>
                        <pic:blipFill>
                          <a:blip r:embed="rId35"/>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4" name="图片 94" descr="第13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第13页-13"/>
                          <pic:cNvPicPr>
                            <a:picLocks noChangeAspect="1"/>
                          </pic:cNvPicPr>
                        </pic:nvPicPr>
                        <pic:blipFill>
                          <a:blip r:embed="rId36"/>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5" name="图片 95" descr="第14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第14页-14"/>
                          <pic:cNvPicPr>
                            <a:picLocks noChangeAspect="1"/>
                          </pic:cNvPicPr>
                        </pic:nvPicPr>
                        <pic:blipFill>
                          <a:blip r:embed="rId37"/>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6" name="图片 96" descr="第15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第15页-15"/>
                          <pic:cNvPicPr>
                            <a:picLocks noChangeAspect="1"/>
                          </pic:cNvPicPr>
                        </pic:nvPicPr>
                        <pic:blipFill>
                          <a:blip r:embed="rId38"/>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7" name="图片 97" descr="第16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第16页-16"/>
                          <pic:cNvPicPr>
                            <a:picLocks noChangeAspect="1"/>
                          </pic:cNvPicPr>
                        </pic:nvPicPr>
                        <pic:blipFill>
                          <a:blip r:embed="rId39"/>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8" name="图片 98" descr="第17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第17页-17"/>
                          <pic:cNvPicPr>
                            <a:picLocks noChangeAspect="1"/>
                          </pic:cNvPicPr>
                        </pic:nvPicPr>
                        <pic:blipFill>
                          <a:blip r:embed="rId40"/>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99" name="图片 99" descr="第18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第18页-18"/>
                          <pic:cNvPicPr>
                            <a:picLocks noChangeAspect="1"/>
                          </pic:cNvPicPr>
                        </pic:nvPicPr>
                        <pic:blipFill>
                          <a:blip r:embed="rId41"/>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0" name="图片 100" descr="第19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第19页-19"/>
                          <pic:cNvPicPr>
                            <a:picLocks noChangeAspect="1"/>
                          </pic:cNvPicPr>
                        </pic:nvPicPr>
                        <pic:blipFill>
                          <a:blip r:embed="rId42"/>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1" name="图片 101" descr="第20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第20页-20"/>
                          <pic:cNvPicPr>
                            <a:picLocks noChangeAspect="1"/>
                          </pic:cNvPicPr>
                        </pic:nvPicPr>
                        <pic:blipFill>
                          <a:blip r:embed="rId43"/>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2" name="图片 102" descr="第21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第21页-21"/>
                          <pic:cNvPicPr>
                            <a:picLocks noChangeAspect="1"/>
                          </pic:cNvPicPr>
                        </pic:nvPicPr>
                        <pic:blipFill>
                          <a:blip r:embed="rId44"/>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3" name="图片 103" descr="第22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第22页-22"/>
                          <pic:cNvPicPr>
                            <a:picLocks noChangeAspect="1"/>
                          </pic:cNvPicPr>
                        </pic:nvPicPr>
                        <pic:blipFill>
                          <a:blip r:embed="rId45"/>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4" name="图片 104" descr="第23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第23页-23"/>
                          <pic:cNvPicPr>
                            <a:picLocks noChangeAspect="1"/>
                          </pic:cNvPicPr>
                        </pic:nvPicPr>
                        <pic:blipFill>
                          <a:blip r:embed="rId46"/>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5" name="图片 105" descr="第24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第24页-24"/>
                          <pic:cNvPicPr>
                            <a:picLocks noChangeAspect="1"/>
                          </pic:cNvPicPr>
                        </pic:nvPicPr>
                        <pic:blipFill>
                          <a:blip r:embed="rId47"/>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6" name="图片 106" descr="第25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第25页-25"/>
                          <pic:cNvPicPr>
                            <a:picLocks noChangeAspect="1"/>
                          </pic:cNvPicPr>
                        </pic:nvPicPr>
                        <pic:blipFill>
                          <a:blip r:embed="rId48"/>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7" name="图片 107" descr="第26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第26页-26"/>
                          <pic:cNvPicPr>
                            <a:picLocks noChangeAspect="1"/>
                          </pic:cNvPicPr>
                        </pic:nvPicPr>
                        <pic:blipFill>
                          <a:blip r:embed="rId49"/>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8" name="图片 108" descr="第27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第27页-27"/>
                          <pic:cNvPicPr>
                            <a:picLocks noChangeAspect="1"/>
                          </pic:cNvPicPr>
                        </pic:nvPicPr>
                        <pic:blipFill>
                          <a:blip r:embed="rId50"/>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09" name="图片 109" descr="第28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第28页-28"/>
                          <pic:cNvPicPr>
                            <a:picLocks noChangeAspect="1"/>
                          </pic:cNvPicPr>
                        </pic:nvPicPr>
                        <pic:blipFill>
                          <a:blip r:embed="rId51"/>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0" name="图片 110" descr="第29页-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第29页-29"/>
                          <pic:cNvPicPr>
                            <a:picLocks noChangeAspect="1"/>
                          </pic:cNvPicPr>
                        </pic:nvPicPr>
                        <pic:blipFill>
                          <a:blip r:embed="rId52"/>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1" name="图片 111" descr="第30页-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第30页-30"/>
                          <pic:cNvPicPr>
                            <a:picLocks noChangeAspect="1"/>
                          </pic:cNvPicPr>
                        </pic:nvPicPr>
                        <pic:blipFill>
                          <a:blip r:embed="rId53"/>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2" name="图片 112" descr="第31页-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第31页-31"/>
                          <pic:cNvPicPr>
                            <a:picLocks noChangeAspect="1"/>
                          </pic:cNvPicPr>
                        </pic:nvPicPr>
                        <pic:blipFill>
                          <a:blip r:embed="rId54"/>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3" name="图片 113" descr="第32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第32页-32"/>
                          <pic:cNvPicPr>
                            <a:picLocks noChangeAspect="1"/>
                          </pic:cNvPicPr>
                        </pic:nvPicPr>
                        <pic:blipFill>
                          <a:blip r:embed="rId55"/>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4" name="图片 114" descr="第33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第33页-33"/>
                          <pic:cNvPicPr>
                            <a:picLocks noChangeAspect="1"/>
                          </pic:cNvPicPr>
                        </pic:nvPicPr>
                        <pic:blipFill>
                          <a:blip r:embed="rId56"/>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5" name="图片 115" descr="第34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第34页-34"/>
                          <pic:cNvPicPr>
                            <a:picLocks noChangeAspect="1"/>
                          </pic:cNvPicPr>
                        </pic:nvPicPr>
                        <pic:blipFill>
                          <a:blip r:embed="rId57"/>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7" name="图片 117" descr="第1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第1页-1"/>
                          <pic:cNvPicPr>
                            <a:picLocks noChangeAspect="1"/>
                          </pic:cNvPicPr>
                        </pic:nvPicPr>
                        <pic:blipFill>
                          <a:blip r:embed="rId58"/>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8" name="图片 118" descr="第2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第2页-2"/>
                          <pic:cNvPicPr>
                            <a:picLocks noChangeAspect="1"/>
                          </pic:cNvPicPr>
                        </pic:nvPicPr>
                        <pic:blipFill>
                          <a:blip r:embed="rId59"/>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19" name="图片 119" descr="第3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第3页-3"/>
                          <pic:cNvPicPr>
                            <a:picLocks noChangeAspect="1"/>
                          </pic:cNvPicPr>
                        </pic:nvPicPr>
                        <pic:blipFill>
                          <a:blip r:embed="rId60"/>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20" name="图片 120" descr="第4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第4页-4"/>
                          <pic:cNvPicPr>
                            <a:picLocks noChangeAspect="1"/>
                          </pic:cNvPicPr>
                        </pic:nvPicPr>
                        <pic:blipFill>
                          <a:blip r:embed="rId61"/>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21" name="图片 121" descr="第5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第5页-5"/>
                          <pic:cNvPicPr>
                            <a:picLocks noChangeAspect="1"/>
                          </pic:cNvPicPr>
                        </pic:nvPicPr>
                        <pic:blipFill>
                          <a:blip r:embed="rId62"/>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22" name="图片 122" descr="第6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第6页-6"/>
                          <pic:cNvPicPr>
                            <a:picLocks noChangeAspect="1"/>
                          </pic:cNvPicPr>
                        </pic:nvPicPr>
                        <pic:blipFill>
                          <a:blip r:embed="rId63"/>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23" name="图片 123" descr="第7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第7页-7"/>
                          <pic:cNvPicPr>
                            <a:picLocks noChangeAspect="1"/>
                          </pic:cNvPicPr>
                        </pic:nvPicPr>
                        <pic:blipFill>
                          <a:blip r:embed="rId64"/>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24" name="图片 124" descr="第8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第8页-8"/>
                          <pic:cNvPicPr>
                            <a:picLocks noChangeAspect="1"/>
                          </pic:cNvPicPr>
                        </pic:nvPicPr>
                        <pic:blipFill>
                          <a:blip r:embed="rId65"/>
                          <a:stretch>
                            <a:fillRect/>
                          </a:stretch>
                        </pic:blipFill>
                        <pic:spPr>
                          <a:xfrm>
                            <a:off x="0" y="0"/>
                            <a:ext cx="5699760" cy="80613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6" w:type="dxa"/>
            <w:vAlign w:val="center"/>
          </w:tcPr>
          <w:p>
            <w:pPr>
              <w:pStyle w:val="3"/>
              <w:bidi w:val="0"/>
              <w:jc w:val="center"/>
              <w:rPr>
                <w:rFonts w:hint="eastAsia"/>
                <w:sz w:val="28"/>
                <w:szCs w:val="28"/>
                <w:vertAlign w:val="baseline"/>
                <w:lang w:val="en-US" w:eastAsia="zh-CN"/>
              </w:rPr>
            </w:pPr>
            <w:r>
              <w:rPr>
                <w:rFonts w:hint="eastAsia"/>
                <w:sz w:val="28"/>
                <w:szCs w:val="28"/>
                <w:vertAlign w:val="baseline"/>
                <w:lang w:val="en-US" w:eastAsia="zh-CN"/>
              </w:rPr>
              <w:drawing>
                <wp:inline distT="0" distB="0" distL="114300" distR="114300">
                  <wp:extent cx="5699760" cy="8061325"/>
                  <wp:effectExtent l="0" t="0" r="15240" b="15875"/>
                  <wp:docPr id="125" name="图片 125" descr="第9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第9页-9"/>
                          <pic:cNvPicPr>
                            <a:picLocks noChangeAspect="1"/>
                          </pic:cNvPicPr>
                        </pic:nvPicPr>
                        <pic:blipFill>
                          <a:blip r:embed="rId66"/>
                          <a:stretch>
                            <a:fillRect/>
                          </a:stretch>
                        </pic:blipFill>
                        <pic:spPr>
                          <a:xfrm>
                            <a:off x="0" y="0"/>
                            <a:ext cx="5699760" cy="8061325"/>
                          </a:xfrm>
                          <a:prstGeom prst="rect">
                            <a:avLst/>
                          </a:prstGeom>
                        </pic:spPr>
                      </pic:pic>
                    </a:graphicData>
                  </a:graphic>
                </wp:inline>
              </w:drawing>
            </w:r>
          </w:p>
        </w:tc>
      </w:tr>
    </w:tbl>
    <w:p>
      <w:pPr>
        <w:pStyle w:val="3"/>
        <w:bidi w:val="0"/>
        <w:rPr>
          <w:rFonts w:hint="eastAsia"/>
          <w:sz w:val="28"/>
          <w:szCs w:val="28"/>
          <w:lang w:val="en-US" w:eastAsia="zh-CN"/>
        </w:rPr>
        <w:sectPr>
          <w:pgSz w:w="11906" w:h="16838"/>
          <w:pgMar w:top="1417" w:right="1463" w:bottom="1446" w:left="1463"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bidi w:val="0"/>
        <w:rPr>
          <w:rFonts w:hint="eastAsia"/>
          <w:sz w:val="28"/>
          <w:szCs w:val="28"/>
          <w:lang w:val="en-US" w:eastAsia="zh-CN"/>
        </w:rPr>
      </w:pPr>
      <w:r>
        <w:rPr>
          <w:rFonts w:hint="eastAsia"/>
          <w:sz w:val="28"/>
          <w:szCs w:val="28"/>
          <w:lang w:val="en-US" w:eastAsia="zh-CN"/>
        </w:rPr>
        <w:t>附件3： 其他相关资料</w:t>
      </w:r>
    </w:p>
    <w:p>
      <w:pPr>
        <w:rPr>
          <w:rFonts w:hint="eastAsia"/>
          <w:lang w:val="en-US" w:eastAsia="zh-CN"/>
        </w:rPr>
        <w:sectPr>
          <w:pgSz w:w="16838" w:h="11906" w:orient="landscape"/>
          <w:pgMar w:top="1800" w:right="1701" w:bottom="1800" w:left="1729"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8318500" cy="4618990"/>
            <wp:effectExtent l="0" t="0" r="6350" b="10160"/>
            <wp:docPr id="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6"/>
                    <pic:cNvPicPr>
                      <a:picLocks noChangeAspect="1"/>
                    </pic:cNvPicPr>
                  </pic:nvPicPr>
                  <pic:blipFill>
                    <a:blip r:embed="rId67"/>
                    <a:stretch>
                      <a:fillRect/>
                    </a:stretch>
                  </pic:blipFill>
                  <pic:spPr>
                    <a:xfrm>
                      <a:off x="0" y="0"/>
                      <a:ext cx="8318500" cy="4618990"/>
                    </a:xfrm>
                    <a:prstGeom prst="rect">
                      <a:avLst/>
                    </a:prstGeom>
                    <a:noFill/>
                    <a:ln>
                      <a:noFill/>
                    </a:ln>
                  </pic:spPr>
                </pic:pic>
              </a:graphicData>
            </a:graphic>
          </wp:inline>
        </w:drawing>
      </w:r>
    </w:p>
    <w:bookmarkEnd w:id="95"/>
    <w:p>
      <w:pPr>
        <w:pStyle w:val="3"/>
        <w:bidi w:val="0"/>
        <w:rPr>
          <w:rFonts w:hint="default"/>
          <w:lang w:val="en-US" w:eastAsia="zh-CN"/>
        </w:rPr>
      </w:pPr>
    </w:p>
    <w:sectPr>
      <w:pgSz w:w="11906" w:h="16838"/>
      <w:pgMar w:top="1701" w:right="1800" w:bottom="1729"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汉仪雅酷黑 75W">
    <w:altName w:val="黑体"/>
    <w:panose1 w:val="020B0804020202020204"/>
    <w:charset w:val="86"/>
    <w:family w:val="auto"/>
    <w:pitch w:val="default"/>
    <w:sig w:usb0="00000000" w:usb1="00000000" w:usb2="00000016" w:usb3="00000000" w:csb0="2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enter" w:pos="4156"/>
        <w:tab w:val="clear" w:pos="4153"/>
      </w:tabs>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z1oQ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upumEbFL9+/XX78&#10;uvz8SnAGgWoX5ojbOUTG5q1tEDycBxwm3k3pdfqCEYEf8p6v8oomEp4uzaaz2RguDt+wAX72eN35&#10;EN8Jq0kycupRv1ZWdtqG2IUOISmbsRupVFtDZUid05vXb8bthasH4MogRyLRPTZZsdk3PbO9Lc4g&#10;5m3XG8HxjUTyLQvxgXk0Ax6McYn3WEplkcT2FiWV9V/+dZ7iUSN4KanRXDk1mCVK1HuD2gEwDoYf&#10;jP1gmKO+s+jWCcbQ8dbEBR/VYJbe6s+YoVXKARczHJlyGgfzLnYNjhnkYrVqg47Oy0PVXUDnORa3&#10;Zud4SpOEDG51jBCz1TgJ1KnS64bea6vUz0lq7j/3bdTjv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989aEMQIAAGMEAAAOAAAAAAAAAAEAIAAAAB8BAABkcnMvZTJvRG9jLnhtbFBLBQYA&#10;AAAABgAGAFkBAADCBQ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T72nYy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vadjICAABjBAAADgAAAAAAAAABACAAAAAfAQAAZHJzL2Uyb0RvYy54bWxQSwUG&#10;AAAAAAYABgBZAQAAwwUAAAAA&#10;">
              <v:fill on="f" focussize="0,0"/>
              <v:stroke on="f" weight="0.5pt"/>
              <v:imagedata o:title=""/>
              <o:lock v:ext="edit" aspectratio="f"/>
              <v:textbox inset="0mm,0mm,0mm,0mm" style="mso-fit-shape-to-text:t;">
                <w:txbxContent>
                  <w:p>
                    <w:pPr>
                      <w:pStyle w:val="10"/>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224790" cy="1397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224790" cy="139700"/>
                      </a:xfrm>
                      <a:prstGeom prst="rect">
                        <a:avLst/>
                      </a:prstGeom>
                      <a:noFill/>
                      <a:ln>
                        <a:noFill/>
                      </a:ln>
                    </wps:spPr>
                    <wps:txbx>
                      <w:txbxContent>
                        <w:p>
                          <w:pPr>
                            <w:spacing w:before="0" w:line="203" w:lineRule="exact"/>
                            <w:ind w:left="40" w:right="0" w:firstLine="0"/>
                            <w:jc w:val="left"/>
                            <w:rPr>
                              <w:rFonts w:ascii="Calibri"/>
                              <w:sz w:val="18"/>
                            </w:rPr>
                          </w:pPr>
                          <w:r>
                            <w:fldChar w:fldCharType="begin"/>
                          </w:r>
                          <w:r>
                            <w:rPr>
                              <w:rFonts w:ascii="Calibri"/>
                              <w:sz w:val="18"/>
                            </w:rPr>
                            <w:instrText xml:space="preserve"> PAGE </w:instrText>
                          </w:r>
                          <w:r>
                            <w:fldChar w:fldCharType="separate"/>
                          </w:r>
                          <w:r>
                            <w:t>110</w:t>
                          </w:r>
                          <w:r>
                            <w:fldChar w:fldCharType="end"/>
                          </w:r>
                        </w:p>
                      </w:txbxContent>
                    </wps:txbx>
                    <wps:bodyPr lIns="0" tIns="0" rIns="0" bIns="0" upright="1"/>
                  </wps:wsp>
                </a:graphicData>
              </a:graphic>
            </wp:anchor>
          </w:drawing>
        </mc:Choice>
        <mc:Fallback>
          <w:pict>
            <v:shape id="_x0000_s1026" o:spid="_x0000_s1026" o:spt="202" type="#_x0000_t202" style="position:absolute;left:0pt;margin-top:0pt;height:11pt;width:17.7pt;mso-position-horizontal:center;mso-position-horizontal-relative:margin;z-index:251659264;mso-width-relative:page;mso-height-relative:page;" filled="f" stroked="f" coordsize="21600,21600" o:gfxdata="UEsDBAoAAAAAAIdO4kAAAAAAAAAAAAAAAAAEAAAAZHJzL1BLAwQUAAAACACHTuJA41Ez29QAAAAD&#10;AQAADwAAAGRycy9kb3ducmV2LnhtbE2PzU7DMBCE70i8g7VI3KjdABVN41QIwQkJkYYDx028TazG&#10;6xC7P7w9hku5rDSa0cy3xfrkBnGgKVjPGuYzBYK49cZyp+Gjfrl5ABEissHBM2n4pgDr8vKiwNz4&#10;I1d02MROpBIOOWroYxxzKUPbk8Mw8yNx8rZ+chiTnDppJjymcjfITKmFdGg5LfQ40lNP7W6zdxoe&#10;P7l6tl9vzXu1rWxdLxW/LnZaX1/N1QpEpFM8h+EXP6FDmZgav2cTxKAhPRL/bvJu7+9ANBqyTIEs&#10;C/mfvfwBUEsDBBQAAAAIAIdO4kC1ypsRugEAAHEDAAAOAAAAZHJzL2Uyb0RvYy54bWytU82O0zAQ&#10;viPxDpbvNGlB7G7UdCVULUJCgLTwAK5jN5b8pxm3SV8A3oATF+48V5+Dsdt0YbnsgYszmZl8833f&#10;OMvb0Vm2V4Am+JbPZzVnysvQGb9t+ZfPdy+uOcMkfCds8KrlB4X8dvX82XKIjVqEPthOASMQj80Q&#10;W96nFJuqQtkrJ3AWovJU1AGcSPQK26oDMRC6s9Wirl9XQ4AuQpAKkbLrU5GfEeEpgEFrI9U6yJ1T&#10;Pp1QQVmRSBL2JiJfFbZaK5k+ao0qMdtyUprKSUMo3uSzWi1FswUReyPPFMRTKDzS5ITxNPQCtRZJ&#10;sB2Yf6CckRAw6DSTwVUnIcURUjGvH3lz34uoihayGuPFdPx/sPLD/hMw07Wc1u6Fo4Ufv387/vh1&#10;/PmVXWd7hogNdd1H6kvjmzDSpZnySMmsetTg8pP0MKqTuYeLuWpMTFJysXh1dUMVSaX5y5uruphf&#10;PXwcAdNbFRzLQcuBdlcsFfv3mIgItU4teZYPd8basj/r/0pQY85UmfmJYY7SuBnPcjahO5Aa+86T&#10;k/lWTAFMwWYKdhHMtic6RXOBpE0UMudbk1f953sZ/PCnr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41Ez29QAAAADAQAADwAAAAAAAAABACAAAAAiAAAAZHJzL2Rvd25yZXYueG1sUEsBAhQAFAAA&#10;AAgAh07iQLXKmxG6AQAAcQMAAA4AAAAAAAAAAQAgAAAAIwEAAGRycy9lMm9Eb2MueG1sUEsFBgAA&#10;AAAGAAYAWQEAAE8FAAAAAA==&#10;">
              <v:fill on="f" focussize="0,0"/>
              <v:stroke on="f"/>
              <v:imagedata o:title=""/>
              <o:lock v:ext="edit" aspectratio="f"/>
              <v:textbox inset="0mm,0mm,0mm,0mm">
                <w:txbxContent>
                  <w:p>
                    <w:pPr>
                      <w:spacing w:before="0" w:line="203" w:lineRule="exact"/>
                      <w:ind w:left="40" w:right="0" w:firstLine="0"/>
                      <w:jc w:val="left"/>
                      <w:rPr>
                        <w:rFonts w:ascii="Calibri"/>
                        <w:sz w:val="18"/>
                      </w:rPr>
                    </w:pPr>
                    <w:r>
                      <w:fldChar w:fldCharType="begin"/>
                    </w:r>
                    <w:r>
                      <w:rPr>
                        <w:rFonts w:ascii="Calibri"/>
                        <w:sz w:val="18"/>
                      </w:rPr>
                      <w:instrText xml:space="preserve"> PAGE </w:instrText>
                    </w:r>
                    <w:r>
                      <w:fldChar w:fldCharType="separate"/>
                    </w:r>
                    <w:r>
                      <w:t>110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1"/>
      </w:pBdr>
      <w:rPr>
        <w:rFonts w:hint="default"/>
        <w:lang w:val="en-US" w:eastAsia="zh-CN"/>
      </w:rPr>
    </w:pPr>
    <w:r>
      <w:rPr>
        <w:sz w:val="18"/>
      </w:rPr>
      <mc:AlternateContent>
        <mc:Choice Requires="wpg">
          <w:drawing>
            <wp:anchor distT="0" distB="0" distL="114300" distR="114300" simplePos="0" relativeHeight="251661312" behindDoc="0" locked="0" layoutInCell="1" allowOverlap="1">
              <wp:simplePos x="0" y="0"/>
              <wp:positionH relativeFrom="margin">
                <wp:align>center</wp:align>
              </wp:positionH>
              <wp:positionV relativeFrom="topMargin">
                <wp:align>bottom</wp:align>
              </wp:positionV>
              <wp:extent cx="3583940" cy="303530"/>
              <wp:effectExtent l="0" t="0" r="0" b="0"/>
              <wp:wrapNone/>
              <wp:docPr id="3" name="组合 3"/>
              <wp:cNvGraphicFramePr/>
              <a:graphic xmlns:a="http://schemas.openxmlformats.org/drawingml/2006/main">
                <a:graphicData uri="http://schemas.microsoft.com/office/word/2010/wordprocessingGroup">
                  <wpg:wgp>
                    <wpg:cNvGrpSpPr/>
                    <wpg:grpSpPr>
                      <a:xfrm>
                        <a:off x="0" y="0"/>
                        <a:ext cx="3583862" cy="303530"/>
                        <a:chOff x="4728" y="1163"/>
                        <a:chExt cx="2175" cy="478"/>
                      </a:xfrm>
                    </wpg:grpSpPr>
                    <wps:wsp>
                      <wps:cNvPr id="2" name="矩形 2"/>
                      <wps:cNvSpPr/>
                      <wps:spPr>
                        <a:xfrm>
                          <a:off x="4728" y="1163"/>
                          <a:ext cx="1760" cy="47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 name="文本框 3"/>
                      <wps:cNvSpPr txBox="1"/>
                      <wps:spPr>
                        <a:xfrm>
                          <a:off x="4748" y="1171"/>
                          <a:ext cx="2155" cy="46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汉仪雅酷黑 75W" w:hAnsi="汉仪雅酷黑 75W" w:eastAsia="汉仪雅酷黑 75W" w:cs="汉仪雅酷黑 75W"/>
                                <w:lang w:val="en-US" w:eastAsia="zh-CN"/>
                              </w:rPr>
                            </w:pPr>
                            <w:r>
                              <w:rPr>
                                <w:rFonts w:hint="eastAsia" w:ascii="汉仪雅酷黑 75W" w:hAnsi="汉仪雅酷黑 75W" w:eastAsia="汉仪雅酷黑 75W" w:cs="汉仪雅酷黑 75W"/>
                                <w:lang w:val="en-US" w:eastAsia="zh-CN"/>
                              </w:rPr>
                              <w:t>南通常佑药业科技有限公司土壤和地下水自行监测报告</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56.55pt;margin-top:61.15pt;height:23.9pt;width:282.2pt;mso-position-horizontal-relative:page;mso-position-vertical-relative:page;z-index:251661312;mso-width-relative:page;mso-height-relative:page;" coordorigin="4728,1163" coordsize="2175,478" o:gfxdata="UEsDBAoAAAAAAIdO4kAAAAAAAAAAAAAAAAAEAAAAZHJzL1BLAwQUAAAACACHTuJApr9hZtYAAAAE&#10;AQAADwAAAGRycy9kb3ducmV2LnhtbE2PQWvCQBCF7wX/wzJCb3UTG63EbESk7UkKaqF4G7NjEszO&#10;huya6L/vtpf2MvB4j/e+yVY304ieOldbVhBPIhDEhdU1lwo+D29PCxDOI2tsLJOCOzlY5aOHDFNt&#10;B95Rv/elCCXsUlRQed+mUrqiIoNuYlvi4J1tZ9AH2ZVSdziEctPIaRTNpcGaw0KFLW0qKi77q1Hw&#10;PuCwfo5f++3lvLkfD7OPr21MSj2O42gJwtPN/4XhBz+gQx6YTvbK2olGQXjE/97gzeZJAuKkIHlZ&#10;gMwz+R8+/wZQSwMEFAAAAAgAh07iQAmuzX1LAwAAnwgAAA4AAABkcnMvZTJvRG9jLnhtbN1Wy24T&#10;MRTdI/EPlvd0MpMnoyZVaWmFVNFKBbF2HM9D8tjGdjopawQsWbFCQrBD4g8Qn9PyG1zbM0kagsRL&#10;LJjFxPa17+P4nDvZ3VtUHF0wbUopxjje6WDEBJWzUuRj/PjR0Z0RRsYSMSNcCjbGl8zgvcntW7u1&#10;SlkiC8lnTCNwIkxaqzEurFVpFBlasIqYHamYAGMmdUUsTHUezTSpwXvFo6TTGUS11DOlJWXGwOph&#10;MOLGo/4ZhzLLSsoOJZ1XTNjgVTNOLJRkilIZPPHZZhmj9jTLDLOIjzFUav0bgsB46t7RZJekuSaq&#10;KGmTAvmZFDZqqkgpIOjS1SGxBM11+Z2rqqRaGpnZHSqrKBTiEYEq4s4GNsdazpWvJU/rXC1Bh4va&#10;QP233dKHF2calbMx7mIkSAUX/vXz86vXr1DXYVOrPIUtx1qdqzPdLORh5spdZLpyv1AIWnhUL5eo&#10;soVFFBa7/VF3NEgwomDrdrr9bgM7LeBu3LHeMAHSgTWOBz4sSWlxvzmexMN+ONsbjlxOURs2ctkt&#10;k6kV8NGsQDJ/BtJ5QRTz2BuHQAMSVNGA9O7j1ZcPKAkg+S1LhExqAKwt8GypswUpHg6Akg6hzSpJ&#10;qrSxx0xWyA3GWAOpPdfIxYmxAZB2iwtqJC9nRyXnfqLz6QHX6IKAAI78E85yVZCw6m8DQDVhqwf4&#10;hg8uUA13kww7LkUCms9AazCsFPDGiBwjwnNoJtRq71xIFx4yC7kfElOEUN6tg4ykVWmhjfCyGuNR&#10;xz3N1XIBCbi7DBi60VTOLgF/LYN6jaJHJSBxQow9IxrkCmlBQ7On8Mq4hFxlM8KokPrZtnW3HwgC&#10;VoxqkD/U8XRONMOIPxBAnbtxrwdurZ/0+sMEJnrdMl23iHl1IAHgGFqnon7o9lveDjMtqyfQ9/Zd&#10;VDARQSF2QKyZHNjQlqBzUra/77dBj1DEnohzRZ1zh5uQ+3Mrs9Jf/AqdBjQQgBPtP1DCoFXC9ZuX&#10;128/Xb9/0XaMpRiQXdyTIO+4FckPZdFr5T/0e0nayiKJ+634B960FP8vy2KNlIHQg26/c5Ou4HwL&#10;/exiugDKrrD+L5kIeg6k/Hs89P0Zvlu+ozTfWPdhXJ973q7+V0y+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Ka/YWbWAAAABAEAAA8AAAAAAAAAAQAgAAAAIgAAAGRycy9kb3ducmV2LnhtbFBLAQIU&#10;ABQAAAAIAIdO4kAJrs19SwMAAJ8IAAAOAAAAAAAAAAEAIAAAACUBAABkcnMvZTJvRG9jLnhtbFBL&#10;BQYAAAAABgAGAFkBAADiBgAAAAA=&#10;">
              <o:lock v:ext="edit" aspectratio="f"/>
              <v:rect id="_x0000_s1026" o:spid="_x0000_s1026" o:spt="1" style="position:absolute;left:4728;top:1163;height:478;width:1760;v-text-anchor:middle;" fillcolor="#FFFFFF [3212]" filled="t" stroked="f" coordsize="21600,21600" o:gfxdata="UEsDBAoAAAAAAIdO4kAAAAAAAAAAAAAAAAAEAAAAZHJzL1BLAwQUAAAACACHTuJAw+U/770AAADa&#10;AAAADwAAAGRycy9kb3ducmV2LnhtbEWPzWrDMBCE74W+g9hCbrVsQ9LgWMmhENJDoDQ1Pi/W+odY&#10;K9dSbadPXwUKPQ4z8w2THxbTi4lG11lWkEQxCOLK6o4bBcXn8XkLwnlkjb1lUnAjB4f940OOmbYz&#10;f9B08Y0IEHYZKmi9HzIpXdWSQRfZgTh4tR0N+iDHRuoR5wA3vUzjeCMNdhwWWhzotaXqevk2Cl6+&#10;fk7H+jSkxVS8c41leU7WpVKrpyTegfC0+P/wX/tNK0jhfiXcA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5T/vvQAA&#10;ANoAAAAPAAAAAAAAAAEAIAAAACIAAABkcnMvZG93bnJldi54bWxQSwECFAAUAAAACACHTuJAMy8F&#10;njsAAAA5AAAAEAAAAAAAAAABACAAAAAMAQAAZHJzL3NoYXBleG1sLnhtbFBLBQYAAAAABgAGAFsB&#10;AAC2AwAAAAA=&#10;">
                <v:fill on="t" opacity="0f" focussize="0,0"/>
                <v:stroke on="f" weight="1pt" miterlimit="8" joinstyle="miter"/>
                <v:imagedata o:title=""/>
                <o:lock v:ext="edit" aspectratio="f"/>
              </v:rect>
              <v:shape id="文本框 3" o:spid="_x0000_s1026" o:spt="202" type="#_x0000_t202" style="position:absolute;left:4748;top:1171;height:461;width:2155;" filled="f" stroked="f" coordsize="21600,21600" o:gfxdata="UEsDBAoAAAAAAIdO4kAAAAAAAAAAAAAAAAAEAAAAZHJzL1BLAwQUAAAACACHTuJATJu3a70AAADa&#10;AAAADwAAAGRycy9kb3ducmV2LnhtbEWPS4vCQBCE7wv+h6EFb+tEQZHoRCQgLuIefFy8tZnOAzM9&#10;MTPr69fvCILHoqq+ombzu6nFlVpXWVYw6EcgiDOrKy4UHPbL7wkI55E11pZJwYMczJPO1wxjbW+8&#10;pevOFyJA2MWooPS+iaV0WUkGXd82xMHLbWvQB9kWUrd4C3BTy2EUjaXBisNCiQ2lJWXn3Z9RsE6X&#10;v7g9Dc3kWaerTb5oLofjSKledxBNQXi6+0/43f7RCsbwuhJugE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m7drvQAA&#10;ANo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hint="default" w:ascii="汉仪雅酷黑 75W" w:hAnsi="汉仪雅酷黑 75W" w:eastAsia="汉仪雅酷黑 75W" w:cs="汉仪雅酷黑 75W"/>
                          <w:lang w:val="en-US" w:eastAsia="zh-CN"/>
                        </w:rPr>
                      </w:pPr>
                      <w:r>
                        <w:rPr>
                          <w:rFonts w:hint="eastAsia" w:ascii="汉仪雅酷黑 75W" w:hAnsi="汉仪雅酷黑 75W" w:eastAsia="汉仪雅酷黑 75W" w:cs="汉仪雅酷黑 75W"/>
                          <w:lang w:val="en-US" w:eastAsia="zh-CN"/>
                        </w:rPr>
                        <w:t>南通常佑药业科技有限公司土壤和地下水自行监测报告</w:t>
                      </w:r>
                    </w:p>
                  </w:txbxContent>
                </v:textbox>
              </v:shape>
            </v:group>
          </w:pict>
        </mc:Fallback>
      </mc:AlternateContent>
    </w: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topMargin">
                <wp:align>bottom</wp:align>
              </wp:positionV>
              <wp:extent cx="5314950" cy="0"/>
              <wp:effectExtent l="0" t="0" r="0" b="0"/>
              <wp:wrapNone/>
              <wp:docPr id="1" name="直接连接符 1"/>
              <wp:cNvGraphicFramePr/>
              <a:graphic xmlns:a="http://schemas.openxmlformats.org/drawingml/2006/main">
                <a:graphicData uri="http://schemas.microsoft.com/office/word/2010/wordprocessingShape">
                  <wps:wsp>
                    <wps:cNvCnPr/>
                    <wps:spPr>
                      <a:xfrm>
                        <a:off x="1159510" y="897890"/>
                        <a:ext cx="531495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100000</wp14:pctWidth>
              </wp14:sizeRelH>
              <wp14:sizeRelV relativeFrom="page">
                <wp14:pctHeight>0</wp14:pctHeight>
              </wp14:sizeRelV>
            </wp:anchor>
          </w:drawing>
        </mc:Choice>
        <mc:Fallback>
          <w:pict>
            <v:line id="_x0000_s1026" o:spid="_x0000_s1026" o:spt="20" style="position:absolute;left:0pt;margin-left:90pt;margin-top:85.05pt;height:0pt;width:418.5pt;mso-position-horizontal-relative:page;mso-position-vertical-relative:page;z-index:251660288;mso-width-relative:margin;mso-height-relative:page;mso-width-percent:1000;" filled="f" stroked="t" coordsize="21600,21600" o:gfxdata="UEsDBAoAAAAAAIdO4kAAAAAAAAAAAAAAAAAEAAAAZHJzL1BLAwQUAAAACACHTuJAh3ni19MAAAAC&#10;AQAADwAAAGRycy9kb3ducmV2LnhtbE2PTUvDQBCG74L/YRnBi9hNK2iJ2fSgiILgR23tdZodk2B2&#10;Nuxum+ivd+pFLwMP7/DOM8VidJ3aU4itZwPTSQaKuPK25drA6u3ufA4qJmSLnWcy8EURFuXxUYG5&#10;9QO/0n6ZaiUlHHM00KTU51rHqiGHceJ7Ysk+fHCYBEOtbcBByl2nZ1l2qR22LBca7OmmoepzuXMG&#10;wjPHfj0+4vfD5vb9ZTN7CvfDmTGnJ9PsGlSiMf0tw0Ff1KEUp63fsY2qMyCPpN8p2fziSnB7QF0W&#10;+r96+QNQSwMEFAAAAAgAh07iQIXIQtjtAQAAvAMAAA4AAABkcnMvZTJvRG9jLnhtbK1Ty47TMBTd&#10;I/EPlvc0TSHQRE1nMdWwQVAJ+ADXsRNLfsnX07Q/wQ8gsYMVS/b8zQyfwbXTebKZBVk4177X5/oc&#10;H6/ODkaTvQignG1pOZtTIix3nbJ9Sz9/unixpAQisx3TzoqWHgXQs/XzZ6vRN2LhBqc7EQiCWGhG&#10;39IhRt8UBfBBGAYz54XFpHTBsIjT0BddYCOiG10s5vPXxehC54PjAgBXN1OSnhDDUwCdlIqLjeOX&#10;Rtg4oQahWURKMCgPdJ1PK6Xg8YOUICLRLUWmMY/YBONdGov1ijV9YH5Q/HQE9pQjPOJkmLLY9BZq&#10;wyIjl0H9A2UUDw6cjDPuTDERyYogi3L+SJuPA/Mic0Gpwd+KDv8Plr/fbwNRHTqBEssMXvj1119X&#10;X77/+f0Nx+ufP0iZRBo9NFh7brfhNAO/DYnxQQaT/siFHBCmrOqqRHmPLV3Wb5b1SWNxiIRjvnpZ&#10;vqorzHMsyLniDsMHiG+FMyQFLdXKJvqsYft3ELEvlt6UpGXrLpTW+Qq1JWNL62pRITJDW0q0A4bG&#10;IzWwPSVM9+h3HkNGBKdVl3YnHAj97lwHsmfJJflLnLHbg7LUesNgmOpyavKPURGfhFYGKd/frS2C&#10;JOUmrVK0c90xS5jX8VJzm5MBk2vuz/Puu0e3/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HeeLX&#10;0wAAAAIBAAAPAAAAAAAAAAEAIAAAACIAAABkcnMvZG93bnJldi54bWxQSwECFAAUAAAACACHTuJA&#10;hchC2O0BAAC8AwAADgAAAAAAAAABACAAAAAiAQAAZHJzL2Uyb0RvYy54bWxQSwUGAAAAAAYABgBZ&#10;AQAAgQUAAAAA&#10;">
              <v:fill on="f" focussize="0,0"/>
              <v:stroke color="#000000 [3213]" miterlimit="8" joinstyle="miter"/>
              <v:imagedata o:title=""/>
              <o:lock v:ext="edit" aspectratio="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21AE45"/>
    <w:multiLevelType w:val="singleLevel"/>
    <w:tmpl w:val="A521AE45"/>
    <w:lvl w:ilvl="0" w:tentative="0">
      <w:start w:val="2"/>
      <w:numFmt w:val="decimal"/>
      <w:lvlText w:val="%1."/>
      <w:lvlJc w:val="left"/>
      <w:pPr>
        <w:tabs>
          <w:tab w:val="left" w:pos="312"/>
        </w:tabs>
      </w:pPr>
    </w:lvl>
  </w:abstractNum>
  <w:abstractNum w:abstractNumId="1">
    <w:nsid w:val="BE8D5F9D"/>
    <w:multiLevelType w:val="singleLevel"/>
    <w:tmpl w:val="BE8D5F9D"/>
    <w:lvl w:ilvl="0" w:tentative="0">
      <w:start w:val="1"/>
      <w:numFmt w:val="decimal"/>
      <w:suff w:val="nothing"/>
      <w:lvlText w:val="（%1）"/>
      <w:lvlJc w:val="left"/>
    </w:lvl>
  </w:abstractNum>
  <w:abstractNum w:abstractNumId="2">
    <w:nsid w:val="022C9D2C"/>
    <w:multiLevelType w:val="singleLevel"/>
    <w:tmpl w:val="022C9D2C"/>
    <w:lvl w:ilvl="0" w:tentative="0">
      <w:start w:val="1"/>
      <w:numFmt w:val="chineseCounting"/>
      <w:suff w:val="nothing"/>
      <w:lvlText w:val="（%1）"/>
      <w:lvlJc w:val="left"/>
      <w:rPr>
        <w:rFonts w:hint="eastAsia"/>
      </w:rPr>
    </w:lvl>
  </w:abstractNum>
  <w:abstractNum w:abstractNumId="3">
    <w:nsid w:val="02347479"/>
    <w:multiLevelType w:val="singleLevel"/>
    <w:tmpl w:val="02347479"/>
    <w:lvl w:ilvl="0" w:tentative="0">
      <w:start w:val="1"/>
      <w:numFmt w:val="decimal"/>
      <w:suff w:val="nothing"/>
      <w:lvlText w:val="%1）"/>
      <w:lvlJc w:val="left"/>
      <w:rPr>
        <w:rFonts w:hint="default" w:ascii="Times New Roman" w:hAnsi="Times New Roman" w:cs="Times New Roman"/>
      </w:rPr>
    </w:lvl>
  </w:abstractNum>
  <w:abstractNum w:abstractNumId="4">
    <w:nsid w:val="5145B228"/>
    <w:multiLevelType w:val="singleLevel"/>
    <w:tmpl w:val="5145B228"/>
    <w:lvl w:ilvl="0" w:tentative="0">
      <w:start w:val="2"/>
      <w:numFmt w:val="decimal"/>
      <w:suff w:val="nothing"/>
      <w:lvlText w:val="%1）"/>
      <w:lvlJc w:val="left"/>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U0NTMwYzRiMDIwOTVkOTA5OGNkZmNlZTVkMThiYzMifQ=="/>
  </w:docVars>
  <w:rsids>
    <w:rsidRoot w:val="00000000"/>
    <w:rsid w:val="0046375D"/>
    <w:rsid w:val="0069356E"/>
    <w:rsid w:val="00A153C8"/>
    <w:rsid w:val="00A5766A"/>
    <w:rsid w:val="00B40506"/>
    <w:rsid w:val="00C01102"/>
    <w:rsid w:val="00DC0182"/>
    <w:rsid w:val="01790903"/>
    <w:rsid w:val="01A571AC"/>
    <w:rsid w:val="01A828B4"/>
    <w:rsid w:val="01CF52B2"/>
    <w:rsid w:val="01DB492E"/>
    <w:rsid w:val="020F7B7E"/>
    <w:rsid w:val="023B0DB8"/>
    <w:rsid w:val="02A910EE"/>
    <w:rsid w:val="02BA49CD"/>
    <w:rsid w:val="02D346A6"/>
    <w:rsid w:val="02DA1F3A"/>
    <w:rsid w:val="031D2813"/>
    <w:rsid w:val="03501378"/>
    <w:rsid w:val="03713085"/>
    <w:rsid w:val="03E8682A"/>
    <w:rsid w:val="041508F8"/>
    <w:rsid w:val="0497239A"/>
    <w:rsid w:val="04E704CF"/>
    <w:rsid w:val="051554AC"/>
    <w:rsid w:val="0596138A"/>
    <w:rsid w:val="05C219CB"/>
    <w:rsid w:val="05FF3D3F"/>
    <w:rsid w:val="06036FFD"/>
    <w:rsid w:val="062D77BE"/>
    <w:rsid w:val="06722546"/>
    <w:rsid w:val="06953BCE"/>
    <w:rsid w:val="072604D9"/>
    <w:rsid w:val="074719B5"/>
    <w:rsid w:val="075D5592"/>
    <w:rsid w:val="079978B6"/>
    <w:rsid w:val="07D84A09"/>
    <w:rsid w:val="08B12031"/>
    <w:rsid w:val="091D38C0"/>
    <w:rsid w:val="091F7E2F"/>
    <w:rsid w:val="09B918F0"/>
    <w:rsid w:val="09E0077E"/>
    <w:rsid w:val="0A39228B"/>
    <w:rsid w:val="0A567366"/>
    <w:rsid w:val="0B5C5B64"/>
    <w:rsid w:val="0BA30DBA"/>
    <w:rsid w:val="0C0E18BA"/>
    <w:rsid w:val="0C656A33"/>
    <w:rsid w:val="0CAF04BB"/>
    <w:rsid w:val="0D3262B5"/>
    <w:rsid w:val="0D562763"/>
    <w:rsid w:val="0D945875"/>
    <w:rsid w:val="0DAE0848"/>
    <w:rsid w:val="0ECA2A51"/>
    <w:rsid w:val="0EE33613"/>
    <w:rsid w:val="0F642AEC"/>
    <w:rsid w:val="101977BF"/>
    <w:rsid w:val="10753D57"/>
    <w:rsid w:val="10BF54A0"/>
    <w:rsid w:val="10DB4B4B"/>
    <w:rsid w:val="10EF63C3"/>
    <w:rsid w:val="11671785"/>
    <w:rsid w:val="11B6706E"/>
    <w:rsid w:val="11C444E1"/>
    <w:rsid w:val="123B7807"/>
    <w:rsid w:val="13485311"/>
    <w:rsid w:val="137101ED"/>
    <w:rsid w:val="13AE193E"/>
    <w:rsid w:val="13CF1679"/>
    <w:rsid w:val="13FA31C2"/>
    <w:rsid w:val="143E2A4D"/>
    <w:rsid w:val="146432F8"/>
    <w:rsid w:val="14C46990"/>
    <w:rsid w:val="14E41E33"/>
    <w:rsid w:val="150925A3"/>
    <w:rsid w:val="155B4DE4"/>
    <w:rsid w:val="15A703A2"/>
    <w:rsid w:val="15D9681E"/>
    <w:rsid w:val="15E81DCE"/>
    <w:rsid w:val="169B540B"/>
    <w:rsid w:val="16B9038D"/>
    <w:rsid w:val="16BE20FF"/>
    <w:rsid w:val="172E39E8"/>
    <w:rsid w:val="173A130E"/>
    <w:rsid w:val="17947968"/>
    <w:rsid w:val="17C002AF"/>
    <w:rsid w:val="17DE0EF7"/>
    <w:rsid w:val="17E43B94"/>
    <w:rsid w:val="1836445D"/>
    <w:rsid w:val="18796BC6"/>
    <w:rsid w:val="18F356AC"/>
    <w:rsid w:val="19157D18"/>
    <w:rsid w:val="19B11100"/>
    <w:rsid w:val="19BC5961"/>
    <w:rsid w:val="1A03683C"/>
    <w:rsid w:val="1A0B5B45"/>
    <w:rsid w:val="1A0C1E81"/>
    <w:rsid w:val="1A145657"/>
    <w:rsid w:val="1ACE63D1"/>
    <w:rsid w:val="1AD82DAC"/>
    <w:rsid w:val="1AE101ED"/>
    <w:rsid w:val="1AED2F52"/>
    <w:rsid w:val="1B100CB1"/>
    <w:rsid w:val="1B1D1C19"/>
    <w:rsid w:val="1B515AFC"/>
    <w:rsid w:val="1B640620"/>
    <w:rsid w:val="1B854CB8"/>
    <w:rsid w:val="1BA3160C"/>
    <w:rsid w:val="1BC55D1E"/>
    <w:rsid w:val="1C0F6AE2"/>
    <w:rsid w:val="1C47447F"/>
    <w:rsid w:val="1C5C7417"/>
    <w:rsid w:val="1CF235B1"/>
    <w:rsid w:val="1CF96EB8"/>
    <w:rsid w:val="1D191BD8"/>
    <w:rsid w:val="1D595E24"/>
    <w:rsid w:val="1D5F62B7"/>
    <w:rsid w:val="1D6A7F6A"/>
    <w:rsid w:val="1D875001"/>
    <w:rsid w:val="1DF75A01"/>
    <w:rsid w:val="1DFF3DBB"/>
    <w:rsid w:val="1EDD6874"/>
    <w:rsid w:val="1F0D1954"/>
    <w:rsid w:val="1F24418F"/>
    <w:rsid w:val="1F737FCB"/>
    <w:rsid w:val="1F8E5800"/>
    <w:rsid w:val="201769CD"/>
    <w:rsid w:val="203C0424"/>
    <w:rsid w:val="20E33DDB"/>
    <w:rsid w:val="2127579A"/>
    <w:rsid w:val="21515666"/>
    <w:rsid w:val="218F46FE"/>
    <w:rsid w:val="21E40EA5"/>
    <w:rsid w:val="221F60CA"/>
    <w:rsid w:val="22336AED"/>
    <w:rsid w:val="229C2590"/>
    <w:rsid w:val="22F55A5B"/>
    <w:rsid w:val="232433C5"/>
    <w:rsid w:val="236A6830"/>
    <w:rsid w:val="23756C11"/>
    <w:rsid w:val="23851AE3"/>
    <w:rsid w:val="239E394A"/>
    <w:rsid w:val="23C95987"/>
    <w:rsid w:val="245142FB"/>
    <w:rsid w:val="247E588E"/>
    <w:rsid w:val="249146F7"/>
    <w:rsid w:val="249441E7"/>
    <w:rsid w:val="24D25252"/>
    <w:rsid w:val="24E72569"/>
    <w:rsid w:val="25082411"/>
    <w:rsid w:val="25712B06"/>
    <w:rsid w:val="25B0251C"/>
    <w:rsid w:val="25BA5ED0"/>
    <w:rsid w:val="261C069A"/>
    <w:rsid w:val="26414229"/>
    <w:rsid w:val="266047AC"/>
    <w:rsid w:val="26864F19"/>
    <w:rsid w:val="27370898"/>
    <w:rsid w:val="27382388"/>
    <w:rsid w:val="275412CC"/>
    <w:rsid w:val="27895E0C"/>
    <w:rsid w:val="27AC7B69"/>
    <w:rsid w:val="28551557"/>
    <w:rsid w:val="28E844F1"/>
    <w:rsid w:val="293715E5"/>
    <w:rsid w:val="295F3A20"/>
    <w:rsid w:val="29707F5B"/>
    <w:rsid w:val="29D2151E"/>
    <w:rsid w:val="2A1F4D3F"/>
    <w:rsid w:val="2A4F4124"/>
    <w:rsid w:val="2A6E7746"/>
    <w:rsid w:val="2A9E0E1D"/>
    <w:rsid w:val="2AC20C28"/>
    <w:rsid w:val="2AD636BA"/>
    <w:rsid w:val="2B001010"/>
    <w:rsid w:val="2B4E033B"/>
    <w:rsid w:val="2B9F5C7C"/>
    <w:rsid w:val="2BDA5E02"/>
    <w:rsid w:val="2C15351E"/>
    <w:rsid w:val="2C2E03A7"/>
    <w:rsid w:val="2C540276"/>
    <w:rsid w:val="2C792C34"/>
    <w:rsid w:val="2CFD7BC7"/>
    <w:rsid w:val="2D4571DA"/>
    <w:rsid w:val="2D536A83"/>
    <w:rsid w:val="2D667DDF"/>
    <w:rsid w:val="2D9D2ED4"/>
    <w:rsid w:val="2DE3681C"/>
    <w:rsid w:val="2DFA6733"/>
    <w:rsid w:val="2DFE1681"/>
    <w:rsid w:val="2F195A15"/>
    <w:rsid w:val="2F3A104F"/>
    <w:rsid w:val="2F4D7390"/>
    <w:rsid w:val="2F4F7495"/>
    <w:rsid w:val="2FD215E5"/>
    <w:rsid w:val="30183B64"/>
    <w:rsid w:val="301C408F"/>
    <w:rsid w:val="306F161B"/>
    <w:rsid w:val="31532D34"/>
    <w:rsid w:val="318B3715"/>
    <w:rsid w:val="319729CD"/>
    <w:rsid w:val="31B371B8"/>
    <w:rsid w:val="321940F5"/>
    <w:rsid w:val="32463761"/>
    <w:rsid w:val="324F1C81"/>
    <w:rsid w:val="328B0DE7"/>
    <w:rsid w:val="32E65BD2"/>
    <w:rsid w:val="33005D88"/>
    <w:rsid w:val="33A917D3"/>
    <w:rsid w:val="33AA03C8"/>
    <w:rsid w:val="3433755B"/>
    <w:rsid w:val="34586EEB"/>
    <w:rsid w:val="34803ACD"/>
    <w:rsid w:val="34AA2453"/>
    <w:rsid w:val="34BD232C"/>
    <w:rsid w:val="34DF61DC"/>
    <w:rsid w:val="35263729"/>
    <w:rsid w:val="356B07CC"/>
    <w:rsid w:val="356C3BBC"/>
    <w:rsid w:val="35777F52"/>
    <w:rsid w:val="35935DF5"/>
    <w:rsid w:val="35F601C7"/>
    <w:rsid w:val="363E1E53"/>
    <w:rsid w:val="36DE12F2"/>
    <w:rsid w:val="36E13985"/>
    <w:rsid w:val="37865C12"/>
    <w:rsid w:val="37C91FA2"/>
    <w:rsid w:val="384A46AE"/>
    <w:rsid w:val="38642642"/>
    <w:rsid w:val="391F70F9"/>
    <w:rsid w:val="3955498A"/>
    <w:rsid w:val="395D225D"/>
    <w:rsid w:val="3997483C"/>
    <w:rsid w:val="39D663D7"/>
    <w:rsid w:val="3A222484"/>
    <w:rsid w:val="3A60099C"/>
    <w:rsid w:val="3AB6680E"/>
    <w:rsid w:val="3ACF74C9"/>
    <w:rsid w:val="3B204B00"/>
    <w:rsid w:val="3B787B31"/>
    <w:rsid w:val="3BBC79D3"/>
    <w:rsid w:val="3C0C14D2"/>
    <w:rsid w:val="3C6010C0"/>
    <w:rsid w:val="3CCD5425"/>
    <w:rsid w:val="3E4B54BF"/>
    <w:rsid w:val="3EE12464"/>
    <w:rsid w:val="3EE51349"/>
    <w:rsid w:val="3EEA66C7"/>
    <w:rsid w:val="3F235FCB"/>
    <w:rsid w:val="3FA10FBC"/>
    <w:rsid w:val="3FB06EF1"/>
    <w:rsid w:val="3FB32C23"/>
    <w:rsid w:val="3FC67BC7"/>
    <w:rsid w:val="408C738D"/>
    <w:rsid w:val="40942660"/>
    <w:rsid w:val="40990E14"/>
    <w:rsid w:val="41214CA7"/>
    <w:rsid w:val="41AF0E1A"/>
    <w:rsid w:val="41B22235"/>
    <w:rsid w:val="41ED600E"/>
    <w:rsid w:val="426C3C56"/>
    <w:rsid w:val="428C7571"/>
    <w:rsid w:val="42CB74D6"/>
    <w:rsid w:val="42DE6769"/>
    <w:rsid w:val="431A1B19"/>
    <w:rsid w:val="43BD7FE2"/>
    <w:rsid w:val="43EB3C31"/>
    <w:rsid w:val="44110F59"/>
    <w:rsid w:val="44153222"/>
    <w:rsid w:val="44AB7AED"/>
    <w:rsid w:val="44FD434F"/>
    <w:rsid w:val="45703A5D"/>
    <w:rsid w:val="457E261E"/>
    <w:rsid w:val="45F878FC"/>
    <w:rsid w:val="462A6AB0"/>
    <w:rsid w:val="464C1C00"/>
    <w:rsid w:val="46563B8F"/>
    <w:rsid w:val="466B258A"/>
    <w:rsid w:val="46AB391E"/>
    <w:rsid w:val="472B3869"/>
    <w:rsid w:val="47565247"/>
    <w:rsid w:val="477147A5"/>
    <w:rsid w:val="47E55EF0"/>
    <w:rsid w:val="481E1E33"/>
    <w:rsid w:val="486D2811"/>
    <w:rsid w:val="48926E38"/>
    <w:rsid w:val="49654C50"/>
    <w:rsid w:val="49AA2F5B"/>
    <w:rsid w:val="49C71C4A"/>
    <w:rsid w:val="49D80149"/>
    <w:rsid w:val="4B1F69CD"/>
    <w:rsid w:val="4B261B56"/>
    <w:rsid w:val="4C4A633C"/>
    <w:rsid w:val="4C503315"/>
    <w:rsid w:val="4C564407"/>
    <w:rsid w:val="4CAF03BF"/>
    <w:rsid w:val="4CEC2563"/>
    <w:rsid w:val="4E140B8F"/>
    <w:rsid w:val="4E17681A"/>
    <w:rsid w:val="4E286AE3"/>
    <w:rsid w:val="4ED00536"/>
    <w:rsid w:val="4F101EDA"/>
    <w:rsid w:val="4F6D42BC"/>
    <w:rsid w:val="4F7745D6"/>
    <w:rsid w:val="4FA02D27"/>
    <w:rsid w:val="4FFE7D06"/>
    <w:rsid w:val="500977D8"/>
    <w:rsid w:val="50423B25"/>
    <w:rsid w:val="50862115"/>
    <w:rsid w:val="50B1642B"/>
    <w:rsid w:val="50CF3CEE"/>
    <w:rsid w:val="51255A44"/>
    <w:rsid w:val="51942B9B"/>
    <w:rsid w:val="51CF2506"/>
    <w:rsid w:val="52293A25"/>
    <w:rsid w:val="52B612AA"/>
    <w:rsid w:val="532371BC"/>
    <w:rsid w:val="53335D02"/>
    <w:rsid w:val="535F6B7C"/>
    <w:rsid w:val="53747A36"/>
    <w:rsid w:val="538F2C15"/>
    <w:rsid w:val="53E320E7"/>
    <w:rsid w:val="541127BB"/>
    <w:rsid w:val="543971E6"/>
    <w:rsid w:val="54E1387E"/>
    <w:rsid w:val="55DB49B0"/>
    <w:rsid w:val="55E35431"/>
    <w:rsid w:val="55F14746"/>
    <w:rsid w:val="56825896"/>
    <w:rsid w:val="568B2014"/>
    <w:rsid w:val="570427D2"/>
    <w:rsid w:val="57D01DEB"/>
    <w:rsid w:val="57D3715B"/>
    <w:rsid w:val="580E42E4"/>
    <w:rsid w:val="582D606F"/>
    <w:rsid w:val="58646A77"/>
    <w:rsid w:val="58FC473D"/>
    <w:rsid w:val="590D3C3C"/>
    <w:rsid w:val="59BB21F3"/>
    <w:rsid w:val="5A855103"/>
    <w:rsid w:val="5AE22470"/>
    <w:rsid w:val="5AE23EA8"/>
    <w:rsid w:val="5AFA080D"/>
    <w:rsid w:val="5B282BF3"/>
    <w:rsid w:val="5BBC5550"/>
    <w:rsid w:val="5BF11CC7"/>
    <w:rsid w:val="5C621EF5"/>
    <w:rsid w:val="5C6666B3"/>
    <w:rsid w:val="5CFC2B03"/>
    <w:rsid w:val="5D2A2654"/>
    <w:rsid w:val="5D7C74AF"/>
    <w:rsid w:val="5E1A1379"/>
    <w:rsid w:val="5E703E05"/>
    <w:rsid w:val="5E874207"/>
    <w:rsid w:val="5EA17628"/>
    <w:rsid w:val="5EDF221E"/>
    <w:rsid w:val="5F2A0335"/>
    <w:rsid w:val="5F5A5FD8"/>
    <w:rsid w:val="5FB55B8B"/>
    <w:rsid w:val="608953A5"/>
    <w:rsid w:val="60B47C4C"/>
    <w:rsid w:val="60EE1368"/>
    <w:rsid w:val="614A4560"/>
    <w:rsid w:val="617D2DAB"/>
    <w:rsid w:val="618A3929"/>
    <w:rsid w:val="61A51A55"/>
    <w:rsid w:val="61F76D49"/>
    <w:rsid w:val="61F81509"/>
    <w:rsid w:val="620D639C"/>
    <w:rsid w:val="626805F3"/>
    <w:rsid w:val="62C125C3"/>
    <w:rsid w:val="62E664E9"/>
    <w:rsid w:val="630B35C5"/>
    <w:rsid w:val="632D4C35"/>
    <w:rsid w:val="63323318"/>
    <w:rsid w:val="63343362"/>
    <w:rsid w:val="636D2C81"/>
    <w:rsid w:val="63A450EF"/>
    <w:rsid w:val="63D46FD0"/>
    <w:rsid w:val="6462569C"/>
    <w:rsid w:val="64824862"/>
    <w:rsid w:val="653B3F4B"/>
    <w:rsid w:val="65510D5D"/>
    <w:rsid w:val="658A557C"/>
    <w:rsid w:val="66882513"/>
    <w:rsid w:val="66F83B86"/>
    <w:rsid w:val="66F95F7A"/>
    <w:rsid w:val="67F8482A"/>
    <w:rsid w:val="681C186B"/>
    <w:rsid w:val="6826614D"/>
    <w:rsid w:val="68643CFB"/>
    <w:rsid w:val="68651CBB"/>
    <w:rsid w:val="68E333BE"/>
    <w:rsid w:val="68F44821"/>
    <w:rsid w:val="69382BAE"/>
    <w:rsid w:val="69BC41D4"/>
    <w:rsid w:val="69E31740"/>
    <w:rsid w:val="69FA5E67"/>
    <w:rsid w:val="6A04316B"/>
    <w:rsid w:val="6A553A73"/>
    <w:rsid w:val="6AEB6A50"/>
    <w:rsid w:val="6B077055"/>
    <w:rsid w:val="6BBF2A62"/>
    <w:rsid w:val="6C660F48"/>
    <w:rsid w:val="6C842134"/>
    <w:rsid w:val="6C8A7151"/>
    <w:rsid w:val="6CC85DA9"/>
    <w:rsid w:val="6CF73A7A"/>
    <w:rsid w:val="6DCD586D"/>
    <w:rsid w:val="6DE13E5F"/>
    <w:rsid w:val="6DEC03A3"/>
    <w:rsid w:val="6E5A3F47"/>
    <w:rsid w:val="6E910A5B"/>
    <w:rsid w:val="6F0364BF"/>
    <w:rsid w:val="6F3239AE"/>
    <w:rsid w:val="70230B05"/>
    <w:rsid w:val="705552FF"/>
    <w:rsid w:val="70EA5525"/>
    <w:rsid w:val="7184331B"/>
    <w:rsid w:val="71A70CE9"/>
    <w:rsid w:val="71BC0A85"/>
    <w:rsid w:val="71D6681B"/>
    <w:rsid w:val="722376EE"/>
    <w:rsid w:val="7272210D"/>
    <w:rsid w:val="73102D00"/>
    <w:rsid w:val="73443BE0"/>
    <w:rsid w:val="734F45CB"/>
    <w:rsid w:val="735934C8"/>
    <w:rsid w:val="736B748E"/>
    <w:rsid w:val="741224D4"/>
    <w:rsid w:val="741E4855"/>
    <w:rsid w:val="742E5FC0"/>
    <w:rsid w:val="745D1F66"/>
    <w:rsid w:val="74D03353"/>
    <w:rsid w:val="74DC5404"/>
    <w:rsid w:val="750758DC"/>
    <w:rsid w:val="751B043F"/>
    <w:rsid w:val="7535244A"/>
    <w:rsid w:val="754365D2"/>
    <w:rsid w:val="758C6643"/>
    <w:rsid w:val="75D0349E"/>
    <w:rsid w:val="75F95225"/>
    <w:rsid w:val="76340032"/>
    <w:rsid w:val="765B7E19"/>
    <w:rsid w:val="768976A4"/>
    <w:rsid w:val="771E09C3"/>
    <w:rsid w:val="78133095"/>
    <w:rsid w:val="781477A2"/>
    <w:rsid w:val="7847428C"/>
    <w:rsid w:val="784B2F19"/>
    <w:rsid w:val="78BD1D38"/>
    <w:rsid w:val="78D35D4B"/>
    <w:rsid w:val="798E5654"/>
    <w:rsid w:val="79C300A7"/>
    <w:rsid w:val="7A051D48"/>
    <w:rsid w:val="7A0C157F"/>
    <w:rsid w:val="7A1D6C83"/>
    <w:rsid w:val="7A25067D"/>
    <w:rsid w:val="7A272916"/>
    <w:rsid w:val="7A301111"/>
    <w:rsid w:val="7A5D18BB"/>
    <w:rsid w:val="7AA7499C"/>
    <w:rsid w:val="7AA86928"/>
    <w:rsid w:val="7AEF5439"/>
    <w:rsid w:val="7B761860"/>
    <w:rsid w:val="7BB63862"/>
    <w:rsid w:val="7BCC6C16"/>
    <w:rsid w:val="7BE50268"/>
    <w:rsid w:val="7C030768"/>
    <w:rsid w:val="7D952965"/>
    <w:rsid w:val="7DA50C7C"/>
    <w:rsid w:val="7DAE4B47"/>
    <w:rsid w:val="7E0B53DB"/>
    <w:rsid w:val="7E6E49EE"/>
    <w:rsid w:val="7EA2041D"/>
    <w:rsid w:val="7F4E65E2"/>
    <w:rsid w:val="7F6206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Ascii" w:hAnsiTheme="minorAsci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220" w:beforeLines="0" w:beforeAutospacing="0" w:after="210" w:afterLines="0" w:afterAutospacing="0" w:line="360" w:lineRule="auto"/>
      <w:outlineLvl w:val="0"/>
    </w:pPr>
    <w:rPr>
      <w:rFonts w:eastAsia="黑体"/>
      <w:b/>
      <w:kern w:val="44"/>
      <w:sz w:val="32"/>
    </w:rPr>
  </w:style>
  <w:style w:type="paragraph" w:styleId="4">
    <w:name w:val="heading 2"/>
    <w:basedOn w:val="1"/>
    <w:next w:val="1"/>
    <w:link w:val="21"/>
    <w:unhideWhenUsed/>
    <w:qFormat/>
    <w:uiPriority w:val="0"/>
    <w:pPr>
      <w:keepNext/>
      <w:keepLines/>
      <w:spacing w:before="500" w:beforeLines="0" w:beforeAutospacing="0" w:after="500" w:afterLines="0" w:afterAutospacing="0" w:line="360" w:lineRule="auto"/>
      <w:outlineLvl w:val="1"/>
    </w:pPr>
    <w:rPr>
      <w:rFonts w:ascii="Arial" w:hAnsi="Arial" w:eastAsia="黑体"/>
      <w:b/>
      <w:sz w:val="28"/>
    </w:rPr>
  </w:style>
  <w:style w:type="paragraph" w:styleId="5">
    <w:name w:val="heading 3"/>
    <w:basedOn w:val="1"/>
    <w:next w:val="1"/>
    <w:link w:val="22"/>
    <w:unhideWhenUsed/>
    <w:qFormat/>
    <w:uiPriority w:val="0"/>
    <w:pPr>
      <w:keepNext/>
      <w:keepLines/>
      <w:spacing w:before="260" w:beforeLines="0" w:beforeAutospacing="0" w:after="260" w:afterLines="0" w:afterAutospacing="0" w:line="413" w:lineRule="auto"/>
      <w:outlineLvl w:val="2"/>
    </w:pPr>
    <w:rPr>
      <w:rFonts w:eastAsia="黑体" w:asciiTheme="minorAscii" w:hAnsiTheme="minorAscii"/>
      <w:b/>
      <w:sz w:val="24"/>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2">
    <w:name w:val="Body Text"/>
    <w:basedOn w:val="1"/>
    <w:next w:val="1"/>
    <w:qFormat/>
    <w:uiPriority w:val="1"/>
    <w:rPr>
      <w:rFonts w:ascii="宋体" w:hAnsi="宋体" w:eastAsia="宋体" w:cs="宋体"/>
      <w:sz w:val="28"/>
      <w:szCs w:val="28"/>
      <w:lang w:val="zh-CN" w:eastAsia="zh-CN" w:bidi="zh-CN"/>
    </w:rPr>
  </w:style>
  <w:style w:type="paragraph" w:styleId="6">
    <w:name w:val="Normal Indent"/>
    <w:basedOn w:val="1"/>
    <w:qFormat/>
    <w:uiPriority w:val="0"/>
    <w:pPr>
      <w:ind w:firstLine="420"/>
    </w:pPr>
    <w:rPr>
      <w:kern w:val="0"/>
      <w:sz w:val="20"/>
      <w:szCs w:val="20"/>
    </w:rPr>
  </w:style>
  <w:style w:type="paragraph" w:styleId="7">
    <w:name w:val="annotation text"/>
    <w:basedOn w:val="1"/>
    <w:qFormat/>
    <w:uiPriority w:val="0"/>
    <w:pPr>
      <w:jc w:val="left"/>
    </w:pPr>
  </w:style>
  <w:style w:type="paragraph" w:styleId="8">
    <w:name w:val="Body Text Indent"/>
    <w:basedOn w:val="1"/>
    <w:qFormat/>
    <w:uiPriority w:val="0"/>
    <w:pPr>
      <w:spacing w:line="420" w:lineRule="exact"/>
      <w:ind w:firstLine="480" w:firstLineChars="200"/>
    </w:pPr>
    <w:rPr>
      <w:rFonts w:hAnsi="宋体"/>
      <w:kern w:val="0"/>
      <w:sz w:val="24"/>
    </w:rPr>
  </w:style>
  <w:style w:type="paragraph" w:styleId="9">
    <w:name w:val="toc 3"/>
    <w:basedOn w:val="1"/>
    <w:next w:val="1"/>
    <w:qFormat/>
    <w:uiPriority w:val="0"/>
    <w:pPr>
      <w:ind w:left="840" w:leftChars="400"/>
    </w:p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qFormat/>
    <w:uiPriority w:val="0"/>
  </w:style>
  <w:style w:type="paragraph" w:styleId="13">
    <w:name w:val="toc 2"/>
    <w:basedOn w:val="1"/>
    <w:next w:val="1"/>
    <w:qFormat/>
    <w:uiPriority w:val="0"/>
    <w:pPr>
      <w:ind w:left="420" w:leftChars="200"/>
    </w:pPr>
  </w:style>
  <w:style w:type="paragraph" w:styleId="14">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5">
    <w:name w:val="index 1"/>
    <w:basedOn w:val="1"/>
    <w:next w:val="1"/>
    <w:qFormat/>
    <w:uiPriority w:val="0"/>
    <w:pPr>
      <w:jc w:val="center"/>
    </w:pPr>
    <w:rPr>
      <w:rFonts w:ascii="宋体" w:hAnsi="宋体" w:eastAsia="宋体"/>
      <w:sz w:val="21"/>
      <w:szCs w:val="21"/>
    </w:rPr>
  </w:style>
  <w:style w:type="paragraph" w:styleId="16">
    <w:name w:val="Body Text First Indent"/>
    <w:basedOn w:val="1"/>
    <w:qFormat/>
    <w:uiPriority w:val="0"/>
    <w:pPr>
      <w:adjustRightInd/>
      <w:spacing w:after="120" w:line="240" w:lineRule="auto"/>
      <w:ind w:firstLine="420" w:firstLineChars="100"/>
      <w:jc w:val="both"/>
      <w:textAlignment w:val="auto"/>
    </w:pPr>
    <w:rPr>
      <w:szCs w:val="24"/>
    </w:rPr>
  </w:style>
  <w:style w:type="table" w:styleId="18">
    <w:name w:val="Table Grid"/>
    <w:basedOn w:val="17"/>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customStyle="1" w:styleId="20">
    <w:name w:val="Default"/>
    <w:qFormat/>
    <w:uiPriority w:val="0"/>
    <w:pPr>
      <w:widowControl w:val="0"/>
      <w:autoSpaceDE w:val="0"/>
      <w:autoSpaceDN w:val="0"/>
      <w:adjustRightInd w:val="0"/>
    </w:pPr>
    <w:rPr>
      <w:rFonts w:ascii="华文中宋" w:hAnsi="Calibri" w:eastAsia="华文中宋" w:cs="华文中宋"/>
      <w:color w:val="000000"/>
      <w:sz w:val="24"/>
      <w:szCs w:val="24"/>
      <w:lang w:val="en-US" w:eastAsia="zh-CN" w:bidi="ar-SA"/>
    </w:rPr>
  </w:style>
  <w:style w:type="character" w:customStyle="1" w:styleId="21">
    <w:name w:val="标题 2 Char"/>
    <w:link w:val="4"/>
    <w:qFormat/>
    <w:uiPriority w:val="0"/>
    <w:rPr>
      <w:rFonts w:ascii="Arial" w:hAnsi="Arial" w:eastAsia="黑体"/>
      <w:b/>
      <w:sz w:val="28"/>
    </w:rPr>
  </w:style>
  <w:style w:type="character" w:customStyle="1" w:styleId="22">
    <w:name w:val="标题 3 Char"/>
    <w:link w:val="5"/>
    <w:qFormat/>
    <w:uiPriority w:val="0"/>
    <w:rPr>
      <w:rFonts w:eastAsia="黑体" w:asciiTheme="minorAscii" w:hAnsiTheme="minorAscii"/>
      <w:b/>
      <w:sz w:val="24"/>
    </w:rPr>
  </w:style>
  <w:style w:type="paragraph" w:customStyle="1" w:styleId="23">
    <w:name w:val="WPSOffice手动目录 1"/>
    <w:qFormat/>
    <w:uiPriority w:val="0"/>
    <w:pPr>
      <w:ind w:leftChars="0"/>
    </w:pPr>
    <w:rPr>
      <w:rFonts w:ascii="Times New Roman" w:hAnsi="Times New Roman" w:eastAsia="宋体" w:cs="Times New Roman"/>
      <w:sz w:val="20"/>
      <w:szCs w:val="20"/>
    </w:rPr>
  </w:style>
  <w:style w:type="paragraph" w:customStyle="1" w:styleId="24">
    <w:name w:val="WPSOffice手动目录 2"/>
    <w:qFormat/>
    <w:uiPriority w:val="0"/>
    <w:pPr>
      <w:ind w:leftChars="200"/>
    </w:pPr>
    <w:rPr>
      <w:rFonts w:ascii="Times New Roman" w:hAnsi="Times New Roman" w:eastAsia="宋体" w:cs="Times New Roman"/>
      <w:sz w:val="20"/>
      <w:szCs w:val="20"/>
    </w:rPr>
  </w:style>
  <w:style w:type="paragraph" w:customStyle="1" w:styleId="25">
    <w:name w:val="WPSOffice手动目录 3"/>
    <w:qFormat/>
    <w:uiPriority w:val="0"/>
    <w:pPr>
      <w:ind w:leftChars="400"/>
    </w:pPr>
    <w:rPr>
      <w:rFonts w:ascii="Times New Roman" w:hAnsi="Times New Roman" w:eastAsia="宋体" w:cs="Times New Roman"/>
      <w:sz w:val="20"/>
      <w:szCs w:val="20"/>
    </w:rPr>
  </w:style>
  <w:style w:type="paragraph" w:customStyle="1" w:styleId="26">
    <w:name w:val="Table Paragraph"/>
    <w:basedOn w:val="1"/>
    <w:qFormat/>
    <w:uiPriority w:val="1"/>
    <w:pPr>
      <w:jc w:val="center"/>
    </w:pPr>
    <w:rPr>
      <w:rFonts w:ascii="Times New Roman" w:hAnsi="Times New Roman" w:eastAsia="Times New Roman" w:cs="Times New Roman"/>
      <w:lang w:val="zh-CN" w:eastAsia="zh-CN" w:bidi="zh-CN"/>
    </w:rPr>
  </w:style>
  <w:style w:type="paragraph" w:styleId="27">
    <w:name w:val="List Paragraph"/>
    <w:basedOn w:val="1"/>
    <w:qFormat/>
    <w:uiPriority w:val="1"/>
    <w:pPr>
      <w:ind w:left="1348" w:hanging="524"/>
    </w:pPr>
    <w:rPr>
      <w:rFonts w:ascii="宋体" w:hAnsi="宋体" w:eastAsia="宋体" w:cs="宋体"/>
      <w:lang w:val="zh-CN" w:eastAsia="zh-CN" w:bidi="zh-CN"/>
    </w:rPr>
  </w:style>
  <w:style w:type="paragraph" w:customStyle="1" w:styleId="28">
    <w:name w:val="【正文】"/>
    <w:basedOn w:val="1"/>
    <w:qFormat/>
    <w:uiPriority w:val="0"/>
    <w:pPr>
      <w:adjustRightInd w:val="0"/>
      <w:snapToGrid w:val="0"/>
      <w:spacing w:line="360" w:lineRule="auto"/>
      <w:ind w:firstLine="200" w:firstLineChars="200"/>
    </w:pPr>
    <w:rPr>
      <w:rFonts w:ascii="Times New Roman" w:hAnsi="Times New Roman" w:cs="Times New Roman"/>
      <w:color w:val="000000"/>
      <w:sz w:val="24"/>
      <w:szCs w:val="20"/>
    </w:rPr>
  </w:style>
  <w:style w:type="paragraph" w:customStyle="1" w:styleId="29">
    <w:name w:val="xl42"/>
    <w:basedOn w:val="1"/>
    <w:qFormat/>
    <w:uiPriority w:val="0"/>
    <w:pPr>
      <w:widowControl/>
      <w:pBdr>
        <w:bottom w:val="dotted" w:color="auto" w:sz="4" w:space="0"/>
        <w:right w:val="dotted" w:color="auto" w:sz="4" w:space="0"/>
      </w:pBdr>
      <w:spacing w:before="100" w:beforeAutospacing="1" w:after="100" w:afterAutospacing="1"/>
      <w:jc w:val="center"/>
    </w:pPr>
    <w:rPr>
      <w:kern w:val="0"/>
      <w:szCs w:val="21"/>
    </w:rPr>
  </w:style>
  <w:style w:type="paragraph" w:customStyle="1" w:styleId="30">
    <w:name w:val="！正文"/>
    <w:basedOn w:val="1"/>
    <w:qFormat/>
    <w:uiPriority w:val="0"/>
    <w:pPr>
      <w:widowControl/>
      <w:spacing w:line="360" w:lineRule="auto"/>
      <w:ind w:firstLine="480" w:firstLineChars="200"/>
      <w:jc w:val="left"/>
    </w:pPr>
    <w:rPr>
      <w:rFonts w:ascii="宋体" w:hAnsi="宋体" w:cs="宋体"/>
      <w:kern w:val="0"/>
      <w:sz w:val="24"/>
    </w:rPr>
  </w:style>
  <w:style w:type="paragraph" w:customStyle="1" w:styleId="31">
    <w:name w:val="表格（大）"/>
    <w:basedOn w:val="1"/>
    <w:qFormat/>
    <w:uiPriority w:val="0"/>
    <w:pPr>
      <w:spacing w:line="360" w:lineRule="exact"/>
      <w:jc w:val="center"/>
    </w:pPr>
    <w:rPr>
      <w:rFonts w:ascii="Times New Roman"/>
      <w:kern w:val="2"/>
      <w:sz w:val="21"/>
    </w:rPr>
  </w:style>
  <w:style w:type="paragraph" w:customStyle="1" w:styleId="32">
    <w:name w:val="小四表文左齐"/>
    <w:basedOn w:val="1"/>
    <w:qFormat/>
    <w:uiPriority w:val="0"/>
    <w:rPr>
      <w:rFonts w:ascii="宋体" w:hAnsi="宋体" w:eastAsia="宋体"/>
      <w:kern w:val="2"/>
      <w:sz w:val="18"/>
      <w:szCs w:val="18"/>
    </w:rPr>
  </w:style>
  <w:style w:type="paragraph" w:customStyle="1" w:styleId="33">
    <w:name w:val="正文编号小标题次"/>
    <w:basedOn w:val="1"/>
    <w:qFormat/>
    <w:uiPriority w:val="0"/>
    <w:pPr>
      <w:widowControl/>
      <w:kinsoku w:val="0"/>
      <w:autoSpaceDE w:val="0"/>
      <w:autoSpaceDN w:val="0"/>
      <w:adjustRightInd w:val="0"/>
      <w:snapToGrid w:val="0"/>
      <w:jc w:val="center"/>
    </w:pPr>
    <w:rPr>
      <w:rFonts w:ascii="宋体" w:hAnsi="宋体"/>
      <w:spacing w:val="10"/>
      <w:kern w:val="0"/>
      <w:sz w:val="24"/>
    </w:rPr>
  </w:style>
  <w:style w:type="paragraph" w:customStyle="1" w:styleId="34">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bidi="ar-SA"/>
    </w:rPr>
  </w:style>
  <w:style w:type="paragraph" w:customStyle="1" w:styleId="35">
    <w:name w:val="表格内容"/>
    <w:next w:val="36"/>
    <w:qFormat/>
    <w:uiPriority w:val="0"/>
    <w:pPr>
      <w:adjustRightInd w:val="0"/>
      <w:snapToGrid w:val="0"/>
      <w:jc w:val="center"/>
    </w:pPr>
    <w:rPr>
      <w:rFonts w:ascii="Calibri" w:hAnsi="Calibri" w:eastAsia="仿宋" w:cs="Times New Roman"/>
      <w:kern w:val="2"/>
      <w:sz w:val="21"/>
      <w:szCs w:val="21"/>
      <w:lang w:val="en-US" w:eastAsia="zh-CN" w:bidi="ar-SA"/>
    </w:rPr>
  </w:style>
  <w:style w:type="paragraph" w:customStyle="1" w:styleId="36">
    <w:name w:val="正文小四"/>
    <w:qFormat/>
    <w:uiPriority w:val="0"/>
    <w:pPr>
      <w:tabs>
        <w:tab w:val="left" w:pos="1260"/>
      </w:tabs>
      <w:spacing w:line="360" w:lineRule="auto"/>
      <w:ind w:firstLine="480" w:firstLineChars="200"/>
      <w:jc w:val="both"/>
    </w:pPr>
    <w:rPr>
      <w:rFonts w:ascii="Calibri" w:hAnsi="Calibri" w:eastAsia="宋体" w:cs="Times New Roman"/>
      <w:kern w:val="2"/>
      <w:sz w:val="24"/>
      <w:szCs w:val="24"/>
      <w:lang w:val="en-US" w:eastAsia="zh-CN" w:bidi="ar-SA"/>
    </w:rPr>
  </w:style>
  <w:style w:type="paragraph" w:customStyle="1" w:styleId="37">
    <w:name w:val="IDC A-Head (2nd Line)"/>
    <w:basedOn w:val="1"/>
    <w:next w:val="1"/>
    <w:qFormat/>
    <w:uiPriority w:val="0"/>
    <w:pPr>
      <w:widowControl/>
      <w:jc w:val="center"/>
    </w:pPr>
    <w:rPr>
      <w:caps/>
      <w:kern w:val="0"/>
      <w:sz w:val="24"/>
      <w:szCs w:val="20"/>
    </w:rPr>
  </w:style>
  <w:style w:type="paragraph" w:customStyle="1" w:styleId="38">
    <w:name w:val="表格文字"/>
    <w:basedOn w:val="1"/>
    <w:qFormat/>
    <w:uiPriority w:val="0"/>
    <w:pPr>
      <w:adjustRightInd w:val="0"/>
      <w:snapToGrid w:val="0"/>
      <w:spacing w:line="240" w:lineRule="auto"/>
      <w:jc w:val="center"/>
    </w:pPr>
    <w:rPr>
      <w:rFonts w:cs="Times New Roman"/>
      <w:color w:val="000000" w:themeColor="text1"/>
      <w:sz w:val="21"/>
      <w:szCs w:val="21"/>
      <w14:textFill>
        <w14:solidFill>
          <w14:schemeClr w14:val="tx1"/>
        </w14:solidFill>
      </w14:textFill>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0" Type="http://schemas.openxmlformats.org/officeDocument/2006/relationships/fontTable" Target="fontTable.xml"/><Relationship Id="rId7" Type="http://schemas.openxmlformats.org/officeDocument/2006/relationships/footer" Target="footer4.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3.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2.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1.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107</Pages>
  <Words>28137</Words>
  <Characters>35376</Characters>
  <Lines>1</Lines>
  <Paragraphs>1</Paragraphs>
  <TotalTime>14</TotalTime>
  <ScaleCrop>false</ScaleCrop>
  <LinksUpToDate>false</LinksUpToDate>
  <CharactersWithSpaces>36189</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2020-09-28T03:34:00Z</dcterms:created>
  <dc:creator>xieming</dc:creator>
  <cp:lastModifiedBy>谢明</cp:lastModifiedBy>
  <dcterms:modified xsi:type="dcterms:W3CDTF">2022-11-17T02:38:17Z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0F04330E348F4A19AF6AB3F72AC6DB86</vt:lpwstr>
  </property>
</Properties>
</file>